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A7BC" w14:textId="7B8BE4BC" w:rsidR="0087013E" w:rsidRPr="0087013E" w:rsidRDefault="0087013E" w:rsidP="009A7C77">
      <w:pPr>
        <w:spacing w:after="0" w:line="240" w:lineRule="auto"/>
        <w:ind w:left="3544"/>
        <w:jc w:val="right"/>
        <w:outlineLvl w:val="0"/>
        <w:rPr>
          <w:rFonts w:ascii="Times New Roman" w:hAnsi="Times New Roman"/>
          <w:bCs/>
          <w:i/>
          <w:sz w:val="26"/>
          <w:szCs w:val="20"/>
        </w:rPr>
      </w:pPr>
      <w:bookmarkStart w:id="0" w:name="_GoBack"/>
      <w:bookmarkEnd w:id="0"/>
      <w:r w:rsidRPr="0087013E">
        <w:rPr>
          <w:rFonts w:ascii="Times New Roman" w:hAnsi="Times New Roman"/>
          <w:bCs/>
          <w:i/>
          <w:sz w:val="26"/>
          <w:szCs w:val="20"/>
        </w:rPr>
        <w:t xml:space="preserve">Translation from Latvian </w:t>
      </w:r>
    </w:p>
    <w:p w14:paraId="1CC6392B" w14:textId="77777777" w:rsidR="0087013E" w:rsidRPr="0087013E" w:rsidRDefault="0087013E" w:rsidP="009A7C77">
      <w:pPr>
        <w:spacing w:after="0" w:line="240" w:lineRule="auto"/>
        <w:ind w:left="3544"/>
        <w:jc w:val="right"/>
        <w:outlineLvl w:val="0"/>
        <w:rPr>
          <w:rFonts w:ascii="Times New Roman" w:hAnsi="Times New Roman"/>
          <w:b/>
          <w:bCs/>
          <w:i/>
          <w:sz w:val="26"/>
          <w:szCs w:val="20"/>
        </w:rPr>
      </w:pPr>
    </w:p>
    <w:p w14:paraId="41C12F70" w14:textId="77777777" w:rsidR="009A7C77" w:rsidRPr="00156496" w:rsidRDefault="009A7C77" w:rsidP="009A7C77">
      <w:pPr>
        <w:spacing w:after="0" w:line="240" w:lineRule="auto"/>
        <w:ind w:left="3544"/>
        <w:jc w:val="right"/>
        <w:outlineLvl w:val="0"/>
        <w:rPr>
          <w:rFonts w:ascii="Times New Roman" w:eastAsia="Times New Roman" w:hAnsi="Times New Roman" w:cs="Times New Roman"/>
          <w:b/>
          <w:sz w:val="26"/>
          <w:szCs w:val="20"/>
        </w:rPr>
      </w:pPr>
      <w:r>
        <w:rPr>
          <w:rFonts w:ascii="Times New Roman" w:hAnsi="Times New Roman"/>
          <w:b/>
          <w:bCs/>
          <w:sz w:val="26"/>
          <w:szCs w:val="20"/>
        </w:rPr>
        <w:t>APPROVED</w:t>
      </w:r>
    </w:p>
    <w:p w14:paraId="2B45ADE3" w14:textId="77777777" w:rsidR="009A7C77" w:rsidRPr="00156496" w:rsidRDefault="009A7C77" w:rsidP="009A7C77">
      <w:pPr>
        <w:spacing w:after="0" w:line="240" w:lineRule="auto"/>
        <w:ind w:left="4320"/>
        <w:jc w:val="right"/>
        <w:outlineLvl w:val="0"/>
        <w:rPr>
          <w:rFonts w:ascii="Times New Roman" w:eastAsia="Times New Roman" w:hAnsi="Times New Roman" w:cs="Times New Roman"/>
          <w:sz w:val="26"/>
          <w:szCs w:val="20"/>
        </w:rPr>
      </w:pPr>
      <w:r>
        <w:rPr>
          <w:rFonts w:ascii="Times New Roman" w:hAnsi="Times New Roman"/>
          <w:sz w:val="26"/>
          <w:szCs w:val="20"/>
        </w:rPr>
        <w:t xml:space="preserve">                           SIA “LatRosTrans”</w:t>
      </w:r>
    </w:p>
    <w:p w14:paraId="2B2C9AE8" w14:textId="77777777" w:rsidR="009A7C77" w:rsidRPr="00156496" w:rsidRDefault="009A7C77" w:rsidP="009A7C77">
      <w:pPr>
        <w:spacing w:after="0" w:line="240" w:lineRule="auto"/>
        <w:ind w:left="4320"/>
        <w:jc w:val="right"/>
        <w:rPr>
          <w:rFonts w:ascii="Times New Roman" w:eastAsia="Times New Roman" w:hAnsi="Times New Roman" w:cs="Times New Roman"/>
          <w:sz w:val="26"/>
          <w:szCs w:val="20"/>
        </w:rPr>
      </w:pPr>
      <w:r>
        <w:rPr>
          <w:rFonts w:ascii="Times New Roman" w:hAnsi="Times New Roman"/>
          <w:sz w:val="26"/>
          <w:szCs w:val="20"/>
        </w:rPr>
        <w:t xml:space="preserve">                           Member of the Board</w:t>
      </w:r>
    </w:p>
    <w:p w14:paraId="693F8E05" w14:textId="77777777" w:rsidR="009A7C77" w:rsidRPr="00156496" w:rsidRDefault="009A7C77" w:rsidP="009A7C77">
      <w:pPr>
        <w:spacing w:after="0" w:line="240" w:lineRule="auto"/>
        <w:ind w:left="4320"/>
        <w:jc w:val="right"/>
        <w:rPr>
          <w:rFonts w:ascii="Times New Roman" w:eastAsia="Times New Roman" w:hAnsi="Times New Roman" w:cs="Times New Roman"/>
          <w:sz w:val="26"/>
          <w:szCs w:val="20"/>
        </w:rPr>
      </w:pPr>
    </w:p>
    <w:p w14:paraId="46384A8E" w14:textId="732458DD" w:rsidR="009A7C77" w:rsidRPr="00156496" w:rsidRDefault="009A7C77" w:rsidP="009A7C77">
      <w:pPr>
        <w:spacing w:after="0" w:line="240" w:lineRule="auto"/>
        <w:ind w:left="4320"/>
        <w:jc w:val="right"/>
        <w:rPr>
          <w:rFonts w:ascii="Times New Roman" w:eastAsia="Times New Roman" w:hAnsi="Times New Roman" w:cs="Times New Roman"/>
          <w:sz w:val="26"/>
          <w:szCs w:val="20"/>
        </w:rPr>
      </w:pPr>
      <w:r>
        <w:rPr>
          <w:rFonts w:ascii="Times New Roman" w:hAnsi="Times New Roman"/>
          <w:sz w:val="26"/>
          <w:szCs w:val="20"/>
        </w:rPr>
        <w:t xml:space="preserve">                  </w:t>
      </w:r>
      <w:r w:rsidR="0087013E" w:rsidRPr="0087013E">
        <w:rPr>
          <w:rFonts w:ascii="Times New Roman" w:hAnsi="Times New Roman"/>
          <w:i/>
          <w:sz w:val="26"/>
          <w:szCs w:val="20"/>
        </w:rPr>
        <w:t>/personal signature/</w:t>
      </w:r>
      <w:r>
        <w:rPr>
          <w:rFonts w:ascii="Times New Roman" w:hAnsi="Times New Roman"/>
          <w:sz w:val="26"/>
          <w:szCs w:val="20"/>
        </w:rPr>
        <w:t xml:space="preserve">  D. Barkov</w:t>
      </w:r>
    </w:p>
    <w:p w14:paraId="78910346" w14:textId="77777777" w:rsidR="009A7C77" w:rsidRPr="00156496" w:rsidRDefault="009A7C77" w:rsidP="009A7C77">
      <w:pPr>
        <w:spacing w:after="0" w:line="240" w:lineRule="auto"/>
        <w:ind w:left="4320"/>
        <w:jc w:val="right"/>
        <w:rPr>
          <w:rFonts w:ascii="Times New Roman" w:eastAsia="Times New Roman" w:hAnsi="Times New Roman" w:cs="Times New Roman"/>
          <w:sz w:val="26"/>
          <w:szCs w:val="20"/>
        </w:rPr>
      </w:pPr>
    </w:p>
    <w:p w14:paraId="6E377E87" w14:textId="400DA2A7" w:rsidR="009A7C77" w:rsidRPr="00156496" w:rsidRDefault="0087013E" w:rsidP="009A7C77">
      <w:pPr>
        <w:spacing w:after="0" w:line="240" w:lineRule="auto"/>
        <w:ind w:left="4320"/>
        <w:jc w:val="right"/>
        <w:rPr>
          <w:rFonts w:ascii="Times New Roman" w:eastAsia="Times New Roman" w:hAnsi="Times New Roman" w:cs="Times New Roman"/>
          <w:sz w:val="24"/>
          <w:szCs w:val="20"/>
        </w:rPr>
      </w:pPr>
      <w:r>
        <w:rPr>
          <w:rFonts w:ascii="Times New Roman" w:hAnsi="Times New Roman"/>
          <w:sz w:val="26"/>
          <w:szCs w:val="20"/>
        </w:rPr>
        <w:t xml:space="preserve">February 13, </w:t>
      </w:r>
      <w:r w:rsidR="009A7C77">
        <w:rPr>
          <w:rFonts w:ascii="Times New Roman" w:hAnsi="Times New Roman"/>
          <w:sz w:val="26"/>
          <w:szCs w:val="20"/>
        </w:rPr>
        <w:t>2020</w:t>
      </w:r>
    </w:p>
    <w:p w14:paraId="61FDE2AC" w14:textId="77777777" w:rsidR="009A7C77" w:rsidRPr="00156496" w:rsidRDefault="009A7C77" w:rsidP="009A7C77">
      <w:pPr>
        <w:spacing w:after="0" w:line="240" w:lineRule="auto"/>
        <w:ind w:left="4320"/>
        <w:jc w:val="right"/>
        <w:rPr>
          <w:rFonts w:ascii="Times New Roman" w:eastAsia="Times New Roman" w:hAnsi="Times New Roman" w:cs="Times New Roman"/>
          <w:sz w:val="24"/>
          <w:szCs w:val="20"/>
        </w:rPr>
      </w:pPr>
    </w:p>
    <w:p w14:paraId="63EDD466" w14:textId="77777777" w:rsidR="009A7C77" w:rsidRPr="00156496" w:rsidRDefault="009A7C77" w:rsidP="009A7C77">
      <w:pPr>
        <w:tabs>
          <w:tab w:val="center" w:pos="4320"/>
          <w:tab w:val="right" w:pos="8640"/>
        </w:tabs>
        <w:spacing w:after="0" w:line="240" w:lineRule="auto"/>
        <w:jc w:val="right"/>
        <w:rPr>
          <w:rFonts w:ascii="Times New Roman" w:eastAsia="Times New Roman" w:hAnsi="Times New Roman" w:cs="Times New Roman"/>
          <w:sz w:val="24"/>
          <w:szCs w:val="20"/>
        </w:rPr>
      </w:pPr>
    </w:p>
    <w:p w14:paraId="35FA26D2" w14:textId="77777777" w:rsidR="009A7C77" w:rsidRPr="00156496" w:rsidRDefault="009A7C77" w:rsidP="009A7C77">
      <w:pPr>
        <w:tabs>
          <w:tab w:val="center" w:pos="4320"/>
          <w:tab w:val="right" w:pos="8640"/>
        </w:tabs>
        <w:spacing w:after="0" w:line="240" w:lineRule="auto"/>
        <w:rPr>
          <w:rFonts w:ascii="Times New Roman" w:eastAsia="Times New Roman" w:hAnsi="Times New Roman" w:cs="Times New Roman"/>
          <w:sz w:val="24"/>
          <w:szCs w:val="20"/>
        </w:rPr>
      </w:pPr>
    </w:p>
    <w:p w14:paraId="58B010FE"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7588BDC8"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19E595DF"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17B35B5D"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56C4BFF9"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55058E58"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5132AC78" w14:textId="77777777" w:rsidR="00CB36B8" w:rsidRDefault="00CB36B8" w:rsidP="00CB36B8">
      <w:pPr>
        <w:tabs>
          <w:tab w:val="left" w:pos="7938"/>
        </w:tabs>
        <w:spacing w:after="0" w:line="240" w:lineRule="auto"/>
        <w:ind w:left="1134" w:right="1123"/>
        <w:jc w:val="center"/>
        <w:rPr>
          <w:rFonts w:ascii="Times New Roman" w:eastAsia="Times New Roman" w:hAnsi="Times New Roman" w:cs="Times New Roman"/>
          <w:b/>
          <w:sz w:val="40"/>
          <w:szCs w:val="20"/>
        </w:rPr>
      </w:pPr>
      <w:r>
        <w:rPr>
          <w:rFonts w:ascii="Times New Roman" w:hAnsi="Times New Roman"/>
          <w:b/>
          <w:sz w:val="40"/>
          <w:szCs w:val="20"/>
        </w:rPr>
        <w:t>TENDER REGULATIONS</w:t>
      </w:r>
    </w:p>
    <w:p w14:paraId="200F6404" w14:textId="77777777" w:rsidR="00CB36B8" w:rsidRDefault="00CB36B8" w:rsidP="00CB36B8">
      <w:pPr>
        <w:tabs>
          <w:tab w:val="left" w:pos="7938"/>
        </w:tabs>
        <w:spacing w:after="0" w:line="240" w:lineRule="auto"/>
        <w:ind w:left="1134" w:right="1123"/>
        <w:jc w:val="center"/>
        <w:rPr>
          <w:rFonts w:ascii="Times New Roman" w:eastAsia="Times New Roman" w:hAnsi="Times New Roman" w:cs="Times New Roman"/>
          <w:b/>
          <w:sz w:val="40"/>
          <w:szCs w:val="20"/>
          <w:lang w:eastAsia="lv-LV"/>
        </w:rPr>
      </w:pPr>
    </w:p>
    <w:p w14:paraId="097CC0ED" w14:textId="77777777" w:rsidR="009A7C77" w:rsidRPr="006C5736" w:rsidRDefault="009A7C77" w:rsidP="00CB36B8">
      <w:pPr>
        <w:tabs>
          <w:tab w:val="center" w:pos="4844"/>
          <w:tab w:val="left" w:pos="7938"/>
          <w:tab w:val="right" w:pos="9689"/>
        </w:tabs>
        <w:spacing w:after="200" w:line="276" w:lineRule="auto"/>
        <w:ind w:right="1123"/>
        <w:jc w:val="center"/>
        <w:rPr>
          <w:rFonts w:ascii="Times New Roman" w:eastAsia="Calibri" w:hAnsi="Times New Roman" w:cs="Times New Roman"/>
          <w:sz w:val="36"/>
          <w:szCs w:val="36"/>
        </w:rPr>
      </w:pPr>
      <w:r>
        <w:rPr>
          <w:rFonts w:ascii="Times New Roman" w:hAnsi="Times New Roman"/>
          <w:sz w:val="36"/>
          <w:szCs w:val="36"/>
        </w:rPr>
        <w:t>“On Manufacturing and Delivery of a Lorry Trailer with a Body of Residential Caravan.  ”</w:t>
      </w:r>
    </w:p>
    <w:p w14:paraId="120204EA" w14:textId="77777777" w:rsidR="009A7C77" w:rsidRPr="00156496" w:rsidRDefault="009A7C77" w:rsidP="009A7C77">
      <w:pPr>
        <w:tabs>
          <w:tab w:val="left" w:pos="7938"/>
        </w:tabs>
        <w:spacing w:after="0" w:line="240" w:lineRule="auto"/>
        <w:ind w:left="1134" w:right="1123"/>
        <w:jc w:val="center"/>
        <w:rPr>
          <w:rFonts w:ascii="Times New Roman" w:eastAsia="Times New Roman" w:hAnsi="Times New Roman" w:cs="Times New Roman"/>
          <w:b/>
          <w:i/>
          <w:sz w:val="20"/>
          <w:szCs w:val="20"/>
          <w:lang w:eastAsia="lv-LV"/>
        </w:rPr>
      </w:pPr>
    </w:p>
    <w:p w14:paraId="72833D0D" w14:textId="77777777" w:rsidR="009A7C77" w:rsidRPr="00156496" w:rsidRDefault="009A7C77" w:rsidP="009A7C77">
      <w:pPr>
        <w:spacing w:after="0" w:line="240" w:lineRule="auto"/>
        <w:jc w:val="center"/>
        <w:rPr>
          <w:rFonts w:ascii="Times New Roman" w:eastAsia="Times New Roman" w:hAnsi="Times New Roman" w:cs="Times New Roman"/>
          <w:b/>
          <w:sz w:val="40"/>
          <w:szCs w:val="20"/>
        </w:rPr>
      </w:pPr>
    </w:p>
    <w:p w14:paraId="2FCA16D5" w14:textId="77777777" w:rsidR="009A7C77" w:rsidRPr="00156496" w:rsidRDefault="009A7C77" w:rsidP="009A7C77">
      <w:pPr>
        <w:tabs>
          <w:tab w:val="left" w:pos="7938"/>
        </w:tabs>
        <w:spacing w:after="0" w:line="240" w:lineRule="auto"/>
        <w:ind w:left="1134" w:right="1123"/>
        <w:jc w:val="center"/>
        <w:rPr>
          <w:rFonts w:ascii="Times New Roman" w:eastAsia="Times New Roman" w:hAnsi="Times New Roman" w:cs="Times New Roman"/>
          <w:sz w:val="52"/>
          <w:szCs w:val="20"/>
        </w:rPr>
      </w:pPr>
    </w:p>
    <w:p w14:paraId="76DAADA3" w14:textId="77777777" w:rsidR="009A7C77" w:rsidRPr="00156496" w:rsidRDefault="009A7C77" w:rsidP="009A7C77">
      <w:pPr>
        <w:tabs>
          <w:tab w:val="left" w:pos="7938"/>
        </w:tabs>
        <w:spacing w:after="0" w:line="240" w:lineRule="auto"/>
        <w:ind w:left="1134" w:right="1123"/>
        <w:jc w:val="center"/>
        <w:rPr>
          <w:rFonts w:ascii="Times New Roman" w:eastAsia="Times New Roman" w:hAnsi="Times New Roman" w:cs="Times New Roman"/>
          <w:b/>
          <w:i/>
          <w:sz w:val="20"/>
          <w:szCs w:val="20"/>
        </w:rPr>
      </w:pPr>
    </w:p>
    <w:p w14:paraId="3E443243"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59490B7B"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624A5109"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5813C0ED"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08DD2B34"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27CF1AF8"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4F4A74F5"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7675C52D"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1F1A37F3"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4BE12EA2"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18C6D006"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1E27417C"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6307FA93"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4424D303"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53BFEC5C"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04DB7033"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716C01C8"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578D4AC5"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627A3DCF"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06A20AAA"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117FD4C8"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7012B8E5" w14:textId="77777777" w:rsidR="009A7C77" w:rsidRPr="00156496" w:rsidRDefault="009A7C77" w:rsidP="009A7C77">
      <w:pPr>
        <w:spacing w:after="0" w:line="240" w:lineRule="auto"/>
        <w:jc w:val="center"/>
        <w:rPr>
          <w:rFonts w:ascii="Times New Roman" w:eastAsia="Times New Roman" w:hAnsi="Times New Roman" w:cs="Times New Roman"/>
          <w:b/>
          <w:sz w:val="20"/>
          <w:szCs w:val="20"/>
        </w:rPr>
      </w:pPr>
    </w:p>
    <w:p w14:paraId="194C2AE5" w14:textId="77777777" w:rsidR="009A7C77" w:rsidRPr="00DE3196" w:rsidRDefault="009A7C77" w:rsidP="009A7C77">
      <w:pPr>
        <w:spacing w:after="0" w:line="240" w:lineRule="auto"/>
        <w:jc w:val="center"/>
        <w:outlineLvl w:val="0"/>
        <w:rPr>
          <w:rFonts w:ascii="Times New Roman" w:eastAsia="Times New Roman" w:hAnsi="Times New Roman" w:cs="Times New Roman"/>
          <w:b/>
          <w:sz w:val="24"/>
          <w:szCs w:val="20"/>
        </w:rPr>
      </w:pPr>
      <w:r>
        <w:rPr>
          <w:rFonts w:ascii="Times New Roman" w:hAnsi="Times New Roman"/>
          <w:b/>
          <w:sz w:val="24"/>
          <w:szCs w:val="20"/>
        </w:rPr>
        <w:t>Riga, 2020.</w:t>
      </w:r>
    </w:p>
    <w:p w14:paraId="1A1656DB" w14:textId="77777777" w:rsidR="009A7C77" w:rsidRPr="00156496" w:rsidRDefault="009A7C77" w:rsidP="009A7C77">
      <w:pPr>
        <w:spacing w:after="0" w:line="240" w:lineRule="auto"/>
        <w:jc w:val="center"/>
        <w:outlineLvl w:val="0"/>
        <w:rPr>
          <w:rFonts w:ascii="Times New Roman" w:eastAsia="Times New Roman" w:hAnsi="Times New Roman" w:cs="Times New Roman"/>
          <w:b/>
          <w:sz w:val="24"/>
          <w:szCs w:val="20"/>
        </w:rPr>
      </w:pPr>
    </w:p>
    <w:p w14:paraId="660EC3DB" w14:textId="77777777" w:rsidR="009A7C77" w:rsidRPr="00156496" w:rsidRDefault="009A7C77" w:rsidP="009A7C77">
      <w:pPr>
        <w:spacing w:after="0" w:line="240" w:lineRule="auto"/>
        <w:jc w:val="center"/>
        <w:outlineLvl w:val="0"/>
        <w:rPr>
          <w:rFonts w:ascii="Times New Roman" w:eastAsia="Times New Roman" w:hAnsi="Times New Roman" w:cs="Times New Roman"/>
          <w:b/>
          <w:sz w:val="24"/>
          <w:szCs w:val="20"/>
        </w:rPr>
      </w:pPr>
    </w:p>
    <w:p w14:paraId="5F7CA084" w14:textId="77777777" w:rsidR="009A7C77" w:rsidRDefault="009A7C77" w:rsidP="009A7C77">
      <w:pPr>
        <w:spacing w:after="0" w:line="240" w:lineRule="auto"/>
        <w:jc w:val="center"/>
        <w:outlineLvl w:val="0"/>
        <w:rPr>
          <w:rFonts w:ascii="Times New Roman" w:eastAsia="Times New Roman" w:hAnsi="Times New Roman" w:cs="Times New Roman"/>
          <w:b/>
          <w:sz w:val="24"/>
          <w:szCs w:val="20"/>
        </w:rPr>
      </w:pPr>
    </w:p>
    <w:p w14:paraId="4B26E0BD" w14:textId="77777777" w:rsidR="00DE3196" w:rsidRDefault="00DE3196" w:rsidP="009A7C77">
      <w:pPr>
        <w:spacing w:after="0" w:line="240" w:lineRule="auto"/>
        <w:jc w:val="center"/>
        <w:outlineLvl w:val="0"/>
        <w:rPr>
          <w:rFonts w:ascii="Times New Roman" w:eastAsia="Times New Roman" w:hAnsi="Times New Roman" w:cs="Times New Roman"/>
          <w:b/>
          <w:sz w:val="24"/>
          <w:szCs w:val="20"/>
        </w:rPr>
      </w:pPr>
    </w:p>
    <w:p w14:paraId="2D888502" w14:textId="77777777" w:rsidR="00DE3196" w:rsidRPr="00156496" w:rsidRDefault="00DE3196" w:rsidP="009A7C77">
      <w:pPr>
        <w:spacing w:after="0" w:line="240" w:lineRule="auto"/>
        <w:jc w:val="center"/>
        <w:outlineLvl w:val="0"/>
        <w:rPr>
          <w:rFonts w:ascii="Times New Roman" w:eastAsia="Times New Roman" w:hAnsi="Times New Roman" w:cs="Times New Roman"/>
          <w:b/>
          <w:sz w:val="24"/>
          <w:szCs w:val="20"/>
        </w:rPr>
      </w:pPr>
    </w:p>
    <w:p w14:paraId="6963691A" w14:textId="77777777" w:rsidR="009A7C77" w:rsidRPr="00156496" w:rsidRDefault="009A7C77" w:rsidP="009A7C77">
      <w:pPr>
        <w:spacing w:after="0" w:line="240" w:lineRule="auto"/>
        <w:jc w:val="center"/>
        <w:outlineLvl w:val="0"/>
        <w:rPr>
          <w:rFonts w:ascii="Times New Roman" w:eastAsia="Times New Roman" w:hAnsi="Times New Roman" w:cs="Times New Roman"/>
          <w:b/>
          <w:sz w:val="24"/>
          <w:szCs w:val="20"/>
        </w:rPr>
      </w:pPr>
    </w:p>
    <w:p w14:paraId="25C4004F" w14:textId="77777777" w:rsidR="009A7C77" w:rsidRPr="00156496" w:rsidRDefault="009A7C77" w:rsidP="009A7C77">
      <w:pPr>
        <w:spacing w:after="0" w:line="240" w:lineRule="auto"/>
        <w:jc w:val="center"/>
        <w:outlineLvl w:val="0"/>
        <w:rPr>
          <w:rFonts w:ascii="Times New Roman" w:eastAsia="Times New Roman" w:hAnsi="Times New Roman" w:cs="Times New Roman"/>
          <w:b/>
          <w:sz w:val="24"/>
          <w:szCs w:val="20"/>
        </w:rPr>
      </w:pPr>
    </w:p>
    <w:p w14:paraId="6B4CA5D2" w14:textId="77777777" w:rsidR="009A7C77" w:rsidRPr="00156496" w:rsidRDefault="009A7C77" w:rsidP="009A7C77">
      <w:pPr>
        <w:spacing w:after="0" w:line="240" w:lineRule="auto"/>
        <w:jc w:val="center"/>
        <w:outlineLvl w:val="0"/>
        <w:rPr>
          <w:rFonts w:ascii="Times New Roman" w:eastAsia="Times New Roman" w:hAnsi="Times New Roman" w:cs="Times New Roman"/>
          <w:b/>
          <w:sz w:val="24"/>
          <w:szCs w:val="20"/>
        </w:rPr>
      </w:pPr>
    </w:p>
    <w:p w14:paraId="7682624C" w14:textId="77777777" w:rsidR="009A7C77" w:rsidRPr="00156496" w:rsidRDefault="009A7C77" w:rsidP="009A7C77">
      <w:pPr>
        <w:spacing w:after="0" w:line="240" w:lineRule="auto"/>
        <w:rPr>
          <w:rFonts w:ascii="Times New Roman" w:eastAsia="Times New Roman" w:hAnsi="Times New Roman" w:cs="Times New Roman"/>
          <w:sz w:val="24"/>
          <w:szCs w:val="20"/>
        </w:rPr>
      </w:pPr>
    </w:p>
    <w:p w14:paraId="0301E4F1" w14:textId="77777777" w:rsidR="009A7C77" w:rsidRPr="00156496" w:rsidRDefault="009A7C77" w:rsidP="009A7C77">
      <w:pPr>
        <w:numPr>
          <w:ilvl w:val="0"/>
          <w:numId w:val="6"/>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General Provisions</w:t>
      </w:r>
    </w:p>
    <w:p w14:paraId="7AB8913E" w14:textId="77777777" w:rsidR="009A7C77" w:rsidRPr="00156496" w:rsidRDefault="009A7C77" w:rsidP="009A7C77">
      <w:pPr>
        <w:tabs>
          <w:tab w:val="left" w:pos="360"/>
        </w:tabs>
        <w:spacing w:after="0" w:line="240" w:lineRule="auto"/>
        <w:jc w:val="center"/>
        <w:rPr>
          <w:rFonts w:ascii="Times New Roman" w:eastAsia="Times New Roman" w:hAnsi="Times New Roman" w:cs="Times New Roman"/>
          <w:b/>
          <w:sz w:val="24"/>
          <w:szCs w:val="20"/>
        </w:rPr>
      </w:pPr>
    </w:p>
    <w:p w14:paraId="15A8F15D" w14:textId="77777777" w:rsidR="009A7C77" w:rsidRPr="0087013E" w:rsidRDefault="009A7C77" w:rsidP="009A7C77">
      <w:pPr>
        <w:numPr>
          <w:ilvl w:val="1"/>
          <w:numId w:val="1"/>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 xml:space="preserve">The commissioning authority of this tender is SIA “LatRosTrans”, reg. No. 40003190740 (hereinafter referred to as the Commissioning Authority), registered office: „LRDS Ilūkste”, </w:t>
      </w:r>
      <w:bookmarkStart w:id="1" w:name="OLE_LINK1"/>
      <w:bookmarkStart w:id="2" w:name="OLE_LINK2"/>
      <w:r w:rsidRPr="0087013E">
        <w:rPr>
          <w:rFonts w:ascii="Times New Roman" w:hAnsi="Times New Roman" w:cs="Times New Roman"/>
          <w:sz w:val="24"/>
          <w:szCs w:val="24"/>
        </w:rPr>
        <w:t>Šēderes parish, Ilūkstes municipality, LV-5474</w:t>
      </w:r>
      <w:bookmarkEnd w:id="1"/>
      <w:bookmarkEnd w:id="2"/>
      <w:r w:rsidRPr="0087013E">
        <w:rPr>
          <w:rFonts w:ascii="Times New Roman" w:hAnsi="Times New Roman" w:cs="Times New Roman"/>
          <w:sz w:val="24"/>
          <w:szCs w:val="24"/>
        </w:rPr>
        <w:t>; office address in Riga: Sporta iela 11, 8th floor, Riga, LV-1013. Bank details of the Commissioning Authority: current account LV49HABA0019408061400, Swedbank, SWIFT: HABALV22.</w:t>
      </w:r>
    </w:p>
    <w:p w14:paraId="0D402E51" w14:textId="77777777" w:rsidR="009A7C77" w:rsidRPr="0087013E" w:rsidRDefault="009A7C77" w:rsidP="009A7C77">
      <w:pPr>
        <w:numPr>
          <w:ilvl w:val="1"/>
          <w:numId w:val="1"/>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Subject of the order is: lorry trailer with a caravan-type body (residential caravan) which is manufactured and equipped in accordance with the technical specification (Annex No. 1).</w:t>
      </w:r>
    </w:p>
    <w:p w14:paraId="723D8F5F" w14:textId="77777777" w:rsidR="009A7C77" w:rsidRPr="0087013E" w:rsidRDefault="009A7C77" w:rsidP="009A7C77">
      <w:pPr>
        <w:numPr>
          <w:ilvl w:val="1"/>
          <w:numId w:val="1"/>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 xml:space="preserve">When preparing and submitting a bid for the tender, the Tenderer shall take into account: </w:t>
      </w:r>
    </w:p>
    <w:p w14:paraId="3EB22753" w14:textId="77777777" w:rsidR="009A7C77" w:rsidRPr="0087013E" w:rsidRDefault="009A7C77" w:rsidP="009A7C77">
      <w:pPr>
        <w:numPr>
          <w:ilvl w:val="0"/>
          <w:numId w:val="10"/>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 xml:space="preserve">Requirements of the Tender Regulations; </w:t>
      </w:r>
    </w:p>
    <w:p w14:paraId="539B5FB6" w14:textId="77777777" w:rsidR="009A7C77" w:rsidRPr="0087013E" w:rsidRDefault="009A7C77" w:rsidP="009A7C77">
      <w:pPr>
        <w:numPr>
          <w:ilvl w:val="0"/>
          <w:numId w:val="10"/>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Technical specification of the subject of the order (Annex No. 1).</w:t>
      </w:r>
    </w:p>
    <w:p w14:paraId="0AB3AAAD" w14:textId="77777777" w:rsidR="009A7C77" w:rsidRPr="0087013E" w:rsidRDefault="009A7C77" w:rsidP="009A7C77">
      <w:pPr>
        <w:numPr>
          <w:ilvl w:val="1"/>
          <w:numId w:val="1"/>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b/>
          <w:bCs/>
          <w:sz w:val="24"/>
          <w:szCs w:val="24"/>
        </w:rPr>
        <w:t>The tender is open.</w:t>
      </w:r>
      <w:r w:rsidRPr="0087013E">
        <w:rPr>
          <w:rFonts w:ascii="Times New Roman" w:hAnsi="Times New Roman" w:cs="Times New Roman"/>
          <w:sz w:val="24"/>
          <w:szCs w:val="24"/>
        </w:rPr>
        <w:t xml:space="preserve"> A legal entity may participate in an open tender by submitting a bid in accordance with the tender regulations, hereinafter – the Tenderer; the entity should conform with the criteria laid down in the Tender Regulations.</w:t>
      </w:r>
    </w:p>
    <w:p w14:paraId="29A7755B" w14:textId="77777777" w:rsidR="00DB6D14" w:rsidRPr="0087013E" w:rsidRDefault="00DB6D14" w:rsidP="009A7C77">
      <w:pPr>
        <w:numPr>
          <w:ilvl w:val="1"/>
          <w:numId w:val="1"/>
        </w:numPr>
        <w:spacing w:after="0" w:line="240" w:lineRule="auto"/>
        <w:jc w:val="both"/>
        <w:rPr>
          <w:rFonts w:ascii="Times New Roman" w:eastAsia="Times New Roman" w:hAnsi="Times New Roman" w:cs="Times New Roman"/>
          <w:sz w:val="24"/>
          <w:szCs w:val="24"/>
        </w:rPr>
      </w:pPr>
      <w:r w:rsidRPr="0087013E">
        <w:rPr>
          <w:rFonts w:ascii="Times New Roman" w:hAnsi="Times New Roman" w:cs="Times New Roman"/>
          <w:sz w:val="24"/>
          <w:szCs w:val="24"/>
        </w:rPr>
        <w:t>Requirements set for the content of the Tenderer’s tender have been laid down in Section 3 of these Tender Regulations.</w:t>
      </w:r>
    </w:p>
    <w:p w14:paraId="184DFAFA" w14:textId="77777777" w:rsidR="009A7C77" w:rsidRPr="0087013E" w:rsidRDefault="009A7C77" w:rsidP="009A7C77">
      <w:pPr>
        <w:pStyle w:val="ListParagraph"/>
        <w:numPr>
          <w:ilvl w:val="1"/>
          <w:numId w:val="1"/>
        </w:numPr>
        <w:spacing w:after="0" w:line="240" w:lineRule="auto"/>
        <w:jc w:val="both"/>
        <w:rPr>
          <w:rFonts w:ascii="Times New Roman" w:eastAsia="Times New Roman" w:hAnsi="Times New Roman" w:cs="Times New Roman"/>
          <w:color w:val="000000"/>
          <w:sz w:val="24"/>
          <w:szCs w:val="24"/>
        </w:rPr>
      </w:pPr>
      <w:r w:rsidRPr="0087013E">
        <w:rPr>
          <w:rFonts w:ascii="Times New Roman" w:hAnsi="Times New Roman" w:cs="Times New Roman"/>
          <w:color w:val="000000"/>
          <w:sz w:val="24"/>
          <w:szCs w:val="24"/>
        </w:rPr>
        <w:t xml:space="preserve">All exchange of information between the Commissioning Authority and the Tenderer during the tender, including but not limited for additional information on the Order and explanations on the process of the tender shall take place in writing: by mail or by e-mail: </w:t>
      </w:r>
      <w:hyperlink r:id="rId9" w:history="1">
        <w:r w:rsidRPr="0087013E">
          <w:rPr>
            <w:rStyle w:val="Hyperlink"/>
            <w:rFonts w:ascii="Times New Roman" w:hAnsi="Times New Roman" w:cs="Times New Roman"/>
            <w:sz w:val="24"/>
            <w:szCs w:val="24"/>
          </w:rPr>
          <w:t>iepirkumi@latrostrans.lv</w:t>
        </w:r>
      </w:hyperlink>
      <w:r w:rsidRPr="0087013E">
        <w:rPr>
          <w:rFonts w:ascii="Times New Roman" w:hAnsi="Times New Roman" w:cs="Times New Roman"/>
          <w:color w:val="000000"/>
          <w:sz w:val="24"/>
          <w:szCs w:val="24"/>
        </w:rPr>
        <w:t>.</w:t>
      </w:r>
    </w:p>
    <w:p w14:paraId="02A21746" w14:textId="77777777" w:rsidR="009A7C77" w:rsidRPr="0087013E" w:rsidRDefault="009A7C77" w:rsidP="009A7C77">
      <w:pPr>
        <w:pStyle w:val="ListParagraph"/>
        <w:numPr>
          <w:ilvl w:val="1"/>
          <w:numId w:val="1"/>
        </w:numPr>
        <w:spacing w:after="0" w:line="240" w:lineRule="auto"/>
        <w:jc w:val="both"/>
        <w:rPr>
          <w:rFonts w:ascii="Times New Roman" w:eastAsia="Times New Roman" w:hAnsi="Times New Roman" w:cs="Times New Roman"/>
          <w:color w:val="000000"/>
          <w:sz w:val="24"/>
          <w:szCs w:val="24"/>
        </w:rPr>
      </w:pPr>
      <w:r w:rsidRPr="0087013E">
        <w:rPr>
          <w:rFonts w:ascii="Times New Roman" w:hAnsi="Times New Roman" w:cs="Times New Roman"/>
          <w:sz w:val="24"/>
          <w:szCs w:val="24"/>
        </w:rPr>
        <w:t>The Commissioning Authority shall respond only to questions received not later than 5 (five) business days prior to the deadline for submission of tenders specified in Article 4.6. The Commissioning Authority shall be entitled to make amendments to the Tender Regulations, notifying all Tenderers in writing thereof.</w:t>
      </w:r>
    </w:p>
    <w:p w14:paraId="1F6392BA" w14:textId="77777777" w:rsidR="00BA4F66" w:rsidRPr="009127BE" w:rsidRDefault="00BA4F66" w:rsidP="00BA4F66">
      <w:pPr>
        <w:pStyle w:val="ListParagraph"/>
        <w:spacing w:after="0" w:line="240" w:lineRule="auto"/>
        <w:ind w:left="397"/>
        <w:jc w:val="both"/>
        <w:rPr>
          <w:rFonts w:ascii="Times New Roman" w:eastAsia="Times New Roman" w:hAnsi="Times New Roman" w:cs="Times New Roman"/>
          <w:color w:val="000000"/>
          <w:sz w:val="24"/>
          <w:szCs w:val="20"/>
        </w:rPr>
      </w:pPr>
    </w:p>
    <w:p w14:paraId="4A00A930" w14:textId="77777777" w:rsidR="009A7C77" w:rsidRPr="00156496" w:rsidRDefault="009A7C77" w:rsidP="009A7C77">
      <w:pPr>
        <w:tabs>
          <w:tab w:val="left" w:pos="426"/>
        </w:tabs>
        <w:spacing w:after="0" w:line="240" w:lineRule="auto"/>
        <w:ind w:right="-12"/>
        <w:jc w:val="both"/>
        <w:rPr>
          <w:rFonts w:ascii="Times New Roman" w:eastAsia="Times New Roman" w:hAnsi="Times New Roman" w:cs="Times New Roman"/>
          <w:sz w:val="24"/>
          <w:szCs w:val="20"/>
        </w:rPr>
      </w:pPr>
    </w:p>
    <w:p w14:paraId="16676916" w14:textId="77777777" w:rsidR="009A7C77" w:rsidRPr="00156496" w:rsidRDefault="009A7C77" w:rsidP="009A7C77">
      <w:pPr>
        <w:numPr>
          <w:ilvl w:val="0"/>
          <w:numId w:val="6"/>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Provisions for Participation</w:t>
      </w:r>
    </w:p>
    <w:p w14:paraId="183731E2"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18816A1E" w14:textId="77777777" w:rsidR="009A7C77" w:rsidRPr="00156496" w:rsidRDefault="009A7C77" w:rsidP="009A7C77">
      <w:pPr>
        <w:spacing w:after="0" w:line="240" w:lineRule="auto"/>
        <w:ind w:left="426" w:hanging="426"/>
        <w:jc w:val="both"/>
        <w:rPr>
          <w:rFonts w:ascii="Times New Roman" w:eastAsia="Times New Roman" w:hAnsi="Times New Roman" w:cs="Times New Roman"/>
          <w:sz w:val="24"/>
          <w:szCs w:val="20"/>
        </w:rPr>
      </w:pPr>
      <w:r>
        <w:rPr>
          <w:rFonts w:ascii="Times New Roman" w:hAnsi="Times New Roman"/>
          <w:sz w:val="24"/>
          <w:szCs w:val="20"/>
        </w:rPr>
        <w:t xml:space="preserve">2.1. </w:t>
      </w:r>
      <w:r>
        <w:rPr>
          <w:rFonts w:ascii="Times New Roman" w:hAnsi="Times New Roman"/>
        </w:rPr>
        <w:t>Each Tenderer as a general contractor is entitled to submit only one bid for the Tender corresponding to Annex No. 1.</w:t>
      </w:r>
      <w:r>
        <w:rPr>
          <w:rFonts w:ascii="Times New Roman" w:hAnsi="Times New Roman"/>
          <w:sz w:val="24"/>
          <w:szCs w:val="20"/>
        </w:rPr>
        <w:t xml:space="preserve"> Offering several alternatives within the framework of one tender is permitted. The Tenderers may invite sub-contractors for performance of the order.</w:t>
      </w:r>
    </w:p>
    <w:p w14:paraId="37D0D186" w14:textId="77777777" w:rsidR="009A7C77" w:rsidRPr="00156496" w:rsidRDefault="009A7C77" w:rsidP="009A7C77">
      <w:pPr>
        <w:spacing w:after="0" w:line="240" w:lineRule="auto"/>
        <w:ind w:left="426" w:hanging="426"/>
        <w:jc w:val="both"/>
        <w:rPr>
          <w:rFonts w:ascii="Times New Roman" w:eastAsia="Times New Roman" w:hAnsi="Times New Roman" w:cs="Times New Roman"/>
          <w:sz w:val="24"/>
          <w:szCs w:val="20"/>
        </w:rPr>
      </w:pPr>
      <w:bookmarkStart w:id="3" w:name="_Ref426170351"/>
      <w:r>
        <w:rPr>
          <w:rFonts w:ascii="Times New Roman" w:hAnsi="Times New Roman"/>
          <w:sz w:val="24"/>
          <w:szCs w:val="20"/>
        </w:rPr>
        <w:t>2.2. The Commissioning Authority shall be entitled to exclude the Tenderer from participation in the Tender and signing of the contract at any moment if it is discovered that:</w:t>
      </w:r>
      <w:bookmarkEnd w:id="3"/>
    </w:p>
    <w:p w14:paraId="6102C63D" w14:textId="77777777" w:rsidR="009A7C77" w:rsidRPr="00156496" w:rsidRDefault="009A7C77" w:rsidP="009A7C77">
      <w:pPr>
        <w:numPr>
          <w:ilvl w:val="0"/>
          <w:numId w:val="2"/>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An insolvency application has been submitted against the Tenderer; or the Tender has been declared insolvent; a court has adopted a decision on initiation a case on legal protection proceedings of the Tenderer; the Tenderer has an out-of-court legal protection process; the Tenderer is in the stage of liquidation;</w:t>
      </w:r>
    </w:p>
    <w:p w14:paraId="427BF3B8" w14:textId="77777777" w:rsidR="009A7C77" w:rsidRPr="00156496" w:rsidRDefault="009A7C77" w:rsidP="009A7C77">
      <w:pPr>
        <w:numPr>
          <w:ilvl w:val="0"/>
          <w:numId w:val="2"/>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At the moment of submission or evaluation of tenders, the Tenderer has tax debts as certified by a statement issued by a competent authority;</w:t>
      </w:r>
    </w:p>
    <w:p w14:paraId="2841A05A" w14:textId="77777777" w:rsidR="009A7C77" w:rsidRDefault="009A7C77" w:rsidP="009A7C77">
      <w:pPr>
        <w:numPr>
          <w:ilvl w:val="0"/>
          <w:numId w:val="2"/>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The Tenderer’s economic activity has been stopped or terminated;</w:t>
      </w:r>
    </w:p>
    <w:p w14:paraId="78B1739C" w14:textId="77777777" w:rsidR="00377AD7" w:rsidRPr="00156496" w:rsidRDefault="00377AD7" w:rsidP="009A7C77">
      <w:pPr>
        <w:numPr>
          <w:ilvl w:val="0"/>
          <w:numId w:val="2"/>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Validity of the licence issued to the Tenderer has been stopped or terminated;</w:t>
      </w:r>
    </w:p>
    <w:p w14:paraId="4AAD1C7C" w14:textId="77777777" w:rsidR="009A7C77" w:rsidRPr="00156496" w:rsidRDefault="009A7C77" w:rsidP="009A7C77">
      <w:pPr>
        <w:numPr>
          <w:ilvl w:val="0"/>
          <w:numId w:val="2"/>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The Tenderer has submitted false or misleading information to the Commissioning Authority.</w:t>
      </w:r>
    </w:p>
    <w:p w14:paraId="6E2AA1C7" w14:textId="77777777" w:rsidR="009A7C77" w:rsidRPr="00156496" w:rsidRDefault="009A7C77" w:rsidP="009A7C77">
      <w:pPr>
        <w:spacing w:after="0" w:line="240" w:lineRule="auto"/>
        <w:ind w:left="426" w:hanging="426"/>
        <w:jc w:val="both"/>
        <w:rPr>
          <w:rFonts w:ascii="Times New Roman" w:eastAsia="Times New Roman" w:hAnsi="Times New Roman" w:cs="Times New Roman"/>
          <w:sz w:val="24"/>
          <w:szCs w:val="20"/>
        </w:rPr>
      </w:pPr>
      <w:r>
        <w:rPr>
          <w:rFonts w:ascii="Times New Roman" w:hAnsi="Times New Roman"/>
          <w:sz w:val="24"/>
          <w:szCs w:val="20"/>
        </w:rPr>
        <w:t>2.3. The Tenderer shall fully cover all expenses related to preparation of the tender and participation of the Tenderer in the Tender. The Commissioning Authority shall not take any responsibility for these costs regardless of the outcome of the Tender.</w:t>
      </w:r>
    </w:p>
    <w:p w14:paraId="748D3C3C" w14:textId="77777777" w:rsidR="009A7C77" w:rsidRPr="00156496" w:rsidRDefault="009A7C77" w:rsidP="009A7C77">
      <w:pPr>
        <w:spacing w:after="0" w:line="240" w:lineRule="auto"/>
        <w:ind w:left="426" w:hanging="426"/>
        <w:jc w:val="both"/>
        <w:rPr>
          <w:rFonts w:ascii="Times New Roman" w:eastAsia="Times New Roman" w:hAnsi="Times New Roman" w:cs="Times New Roman"/>
          <w:sz w:val="24"/>
          <w:szCs w:val="20"/>
        </w:rPr>
      </w:pPr>
      <w:r>
        <w:rPr>
          <w:rFonts w:ascii="Times New Roman" w:hAnsi="Times New Roman"/>
          <w:sz w:val="24"/>
          <w:szCs w:val="20"/>
        </w:rPr>
        <w:t>2.4. By submitting the tender, the Tenderer fully accepts all provisions included in the Tender Regulations and the annex thereto (</w:t>
      </w:r>
      <w:r>
        <w:rPr>
          <w:rFonts w:ascii="RimHelvetica" w:hAnsi="RimHelvetica"/>
          <w:sz w:val="24"/>
          <w:szCs w:val="20"/>
        </w:rPr>
        <w:t>Technical Specification</w:t>
      </w:r>
      <w:r>
        <w:rPr>
          <w:rFonts w:ascii="Times New Roman" w:hAnsi="Times New Roman"/>
          <w:sz w:val="24"/>
          <w:szCs w:val="20"/>
        </w:rPr>
        <w:t xml:space="preserve">). Terms or conditions included in the Tenderer’s tender </w:t>
      </w:r>
      <w:r>
        <w:rPr>
          <w:rFonts w:ascii="Times New Roman" w:hAnsi="Times New Roman"/>
          <w:sz w:val="24"/>
          <w:szCs w:val="20"/>
        </w:rPr>
        <w:lastRenderedPageBreak/>
        <w:t>which have not been laid down in these Tender Regulations and the annex thereto (</w:t>
      </w:r>
      <w:r>
        <w:rPr>
          <w:rFonts w:ascii="RimHelvetica" w:hAnsi="RimHelvetica"/>
          <w:sz w:val="24"/>
          <w:szCs w:val="20"/>
        </w:rPr>
        <w:t>Technical Specification</w:t>
      </w:r>
      <w:r>
        <w:rPr>
          <w:rFonts w:ascii="Times New Roman" w:hAnsi="Times New Roman"/>
          <w:sz w:val="24"/>
          <w:szCs w:val="20"/>
        </w:rPr>
        <w:t xml:space="preserve">) or are contrary to these provisions shall not be binding to the Commissioning Authority.  </w:t>
      </w:r>
    </w:p>
    <w:p w14:paraId="694CCE31" w14:textId="77777777" w:rsidR="009A7C77" w:rsidRDefault="009A7C77" w:rsidP="009A7C77">
      <w:pPr>
        <w:spacing w:after="0" w:line="240" w:lineRule="auto"/>
        <w:ind w:left="426" w:hanging="426"/>
        <w:jc w:val="both"/>
        <w:rPr>
          <w:rFonts w:ascii="Times New Roman" w:eastAsia="Times New Roman" w:hAnsi="Times New Roman" w:cs="Times New Roman"/>
          <w:sz w:val="24"/>
          <w:szCs w:val="20"/>
        </w:rPr>
      </w:pPr>
      <w:r>
        <w:rPr>
          <w:rFonts w:ascii="Times New Roman" w:hAnsi="Times New Roman"/>
          <w:sz w:val="24"/>
          <w:szCs w:val="20"/>
        </w:rPr>
        <w:t xml:space="preserve">2.5. </w:t>
      </w:r>
      <w:r>
        <w:rPr>
          <w:rFonts w:ascii="Times New Roman" w:hAnsi="Times New Roman"/>
          <w:sz w:val="24"/>
          <w:szCs w:val="20"/>
        </w:rPr>
        <w:tab/>
        <w:t xml:space="preserve">The Tenderer shall be entitled to amend, supplement or withdraw the submitted tender only until the deadline for submission of tenders specified in Article 4.6. After the end of the deadline for submission of tenders, supplements or amendments to the submitted tender shall be coordinated with the Commissioning Authority in writing. </w:t>
      </w:r>
    </w:p>
    <w:p w14:paraId="428F2C81" w14:textId="77777777" w:rsidR="00377AD7" w:rsidRDefault="00377AD7" w:rsidP="009A7C77">
      <w:pPr>
        <w:spacing w:after="0" w:line="240" w:lineRule="auto"/>
        <w:ind w:left="426" w:hanging="426"/>
        <w:jc w:val="both"/>
        <w:rPr>
          <w:rFonts w:ascii="Times New Roman" w:eastAsia="Times New Roman" w:hAnsi="Times New Roman" w:cs="Times New Roman"/>
          <w:sz w:val="24"/>
          <w:szCs w:val="20"/>
        </w:rPr>
      </w:pPr>
    </w:p>
    <w:p w14:paraId="09AB30A0" w14:textId="77777777" w:rsidR="00377AD7" w:rsidRDefault="00377AD7" w:rsidP="009A7C77">
      <w:pPr>
        <w:spacing w:after="0" w:line="240" w:lineRule="auto"/>
        <w:ind w:left="426" w:hanging="426"/>
        <w:jc w:val="both"/>
        <w:rPr>
          <w:rFonts w:ascii="Times New Roman" w:eastAsia="Times New Roman" w:hAnsi="Times New Roman" w:cs="Times New Roman"/>
          <w:sz w:val="24"/>
          <w:szCs w:val="20"/>
        </w:rPr>
      </w:pPr>
    </w:p>
    <w:p w14:paraId="077522D9" w14:textId="77777777" w:rsidR="00377AD7" w:rsidRPr="00156496" w:rsidRDefault="00377AD7" w:rsidP="009A7C77">
      <w:pPr>
        <w:spacing w:after="0" w:line="240" w:lineRule="auto"/>
        <w:ind w:left="426" w:hanging="426"/>
        <w:jc w:val="both"/>
        <w:rPr>
          <w:rFonts w:ascii="Times New Roman" w:eastAsia="Times New Roman" w:hAnsi="Times New Roman" w:cs="Times New Roman"/>
          <w:sz w:val="24"/>
          <w:szCs w:val="20"/>
        </w:rPr>
      </w:pPr>
    </w:p>
    <w:p w14:paraId="33C6A591" w14:textId="77777777" w:rsidR="009A7C77" w:rsidRPr="00156496" w:rsidRDefault="009A7C77" w:rsidP="009A7C77">
      <w:pPr>
        <w:spacing w:after="0" w:line="240" w:lineRule="auto"/>
        <w:ind w:left="426" w:hanging="426"/>
        <w:jc w:val="both"/>
        <w:rPr>
          <w:rFonts w:ascii="Times New Roman" w:eastAsia="Times New Roman" w:hAnsi="Times New Roman" w:cs="Times New Roman"/>
          <w:sz w:val="24"/>
          <w:szCs w:val="20"/>
        </w:rPr>
      </w:pPr>
    </w:p>
    <w:p w14:paraId="66CA7122" w14:textId="77777777" w:rsidR="009A7C77" w:rsidRPr="00156496" w:rsidRDefault="009A7C77" w:rsidP="009A7C77">
      <w:pPr>
        <w:numPr>
          <w:ilvl w:val="0"/>
          <w:numId w:val="6"/>
        </w:numPr>
        <w:spacing w:after="0" w:line="240" w:lineRule="auto"/>
        <w:jc w:val="center"/>
        <w:rPr>
          <w:rFonts w:ascii="Times New Roman" w:eastAsia="Times New Roman" w:hAnsi="Times New Roman" w:cs="Times New Roman"/>
          <w:b/>
          <w:sz w:val="24"/>
          <w:szCs w:val="20"/>
        </w:rPr>
      </w:pPr>
      <w:bookmarkStart w:id="4" w:name="_Ref425845317"/>
      <w:r>
        <w:rPr>
          <w:rFonts w:ascii="Times New Roman" w:hAnsi="Times New Roman"/>
          <w:b/>
          <w:sz w:val="24"/>
          <w:szCs w:val="20"/>
        </w:rPr>
        <w:t>Content of the Tender</w:t>
      </w:r>
    </w:p>
    <w:p w14:paraId="7F630DCC" w14:textId="77777777" w:rsidR="009A7C77" w:rsidRPr="00156496" w:rsidRDefault="009A7C77" w:rsidP="009A7C77">
      <w:pPr>
        <w:tabs>
          <w:tab w:val="left" w:pos="360"/>
        </w:tabs>
        <w:spacing w:after="0" w:line="240" w:lineRule="auto"/>
        <w:jc w:val="both"/>
        <w:rPr>
          <w:rFonts w:ascii="Times New Roman" w:eastAsia="Times New Roman" w:hAnsi="Times New Roman" w:cs="Times New Roman"/>
          <w:b/>
          <w:sz w:val="24"/>
          <w:szCs w:val="20"/>
        </w:rPr>
      </w:pPr>
      <w:r>
        <w:rPr>
          <w:rFonts w:ascii="Times New Roman" w:hAnsi="Times New Roman"/>
          <w:b/>
          <w:sz w:val="24"/>
          <w:szCs w:val="20"/>
        </w:rPr>
        <w:t xml:space="preserve"> </w:t>
      </w:r>
      <w:bookmarkEnd w:id="4"/>
    </w:p>
    <w:p w14:paraId="16155342" w14:textId="77777777" w:rsidR="009A7C77" w:rsidRPr="00156496" w:rsidRDefault="009A7C77" w:rsidP="009A7C77">
      <w:pPr>
        <w:spacing w:after="0" w:line="240" w:lineRule="auto"/>
        <w:jc w:val="both"/>
        <w:rPr>
          <w:rFonts w:ascii="Times New Roman" w:eastAsia="Times New Roman" w:hAnsi="Times New Roman" w:cs="Times New Roman"/>
          <w:sz w:val="24"/>
          <w:szCs w:val="20"/>
        </w:rPr>
      </w:pPr>
      <w:bookmarkStart w:id="5" w:name="_Ref425562980"/>
      <w:r>
        <w:rPr>
          <w:rFonts w:ascii="Times New Roman" w:hAnsi="Times New Roman"/>
          <w:sz w:val="24"/>
          <w:szCs w:val="20"/>
        </w:rPr>
        <w:t>3.1. The tender submitted by the Tenderer consists of the documents mentioned below which should include the following information:</w:t>
      </w:r>
      <w:bookmarkEnd w:id="5"/>
    </w:p>
    <w:p w14:paraId="4B27C01A" w14:textId="77777777" w:rsidR="009A7C77" w:rsidRPr="00156496" w:rsidRDefault="009A7C77" w:rsidP="009A7C77">
      <w:pPr>
        <w:spacing w:after="0" w:line="240" w:lineRule="auto"/>
        <w:ind w:left="709" w:hanging="283"/>
        <w:jc w:val="both"/>
        <w:rPr>
          <w:rFonts w:ascii="Times New Roman" w:eastAsia="Times New Roman" w:hAnsi="Times New Roman" w:cs="Times New Roman"/>
          <w:color w:val="000000"/>
          <w:sz w:val="24"/>
          <w:szCs w:val="20"/>
        </w:rPr>
      </w:pPr>
      <w:r>
        <w:rPr>
          <w:rFonts w:ascii="Times New Roman" w:hAnsi="Times New Roman"/>
          <w:sz w:val="24"/>
          <w:szCs w:val="20"/>
        </w:rPr>
        <w:t>a)</w:t>
      </w:r>
      <w:r>
        <w:rPr>
          <w:rFonts w:ascii="Times New Roman" w:hAnsi="Times New Roman"/>
          <w:sz w:val="24"/>
          <w:szCs w:val="20"/>
        </w:rPr>
        <w:tab/>
        <w:t>application of the Tender participant for participation in Tender (free form).</w:t>
      </w:r>
      <w:r>
        <w:t xml:space="preserve"> </w:t>
      </w:r>
      <w:r>
        <w:rPr>
          <w:rFonts w:ascii="Times New Roman" w:hAnsi="Times New Roman"/>
          <w:sz w:val="24"/>
          <w:szCs w:val="20"/>
        </w:rPr>
        <w:t>Tender validity period should not be less than 90 days, counting from the deadline for submission of tenders specified in Article 4.6 of the Tender Regulations;</w:t>
      </w:r>
    </w:p>
    <w:p w14:paraId="66977C25" w14:textId="77777777" w:rsidR="008876B9" w:rsidRDefault="009A7C77" w:rsidP="009A7C77">
      <w:pPr>
        <w:spacing w:after="0" w:line="240" w:lineRule="auto"/>
        <w:ind w:left="709" w:hanging="283"/>
        <w:jc w:val="both"/>
        <w:rPr>
          <w:rFonts w:ascii="Times New Roman" w:eastAsia="Times New Roman" w:hAnsi="Times New Roman" w:cs="Times New Roman"/>
          <w:color w:val="000000"/>
          <w:sz w:val="24"/>
          <w:szCs w:val="20"/>
        </w:rPr>
      </w:pPr>
      <w:r>
        <w:rPr>
          <w:rFonts w:ascii="Times New Roman" w:hAnsi="Times New Roman"/>
          <w:color w:val="000000"/>
          <w:sz w:val="24"/>
          <w:szCs w:val="20"/>
        </w:rPr>
        <w:t>b)</w:t>
      </w:r>
      <w:r>
        <w:rPr>
          <w:rFonts w:ascii="Times New Roman" w:hAnsi="Times New Roman"/>
          <w:color w:val="000000"/>
          <w:sz w:val="24"/>
          <w:szCs w:val="20"/>
        </w:rPr>
        <w:tab/>
        <w:t xml:space="preserve">total price of the tender (EUR). The price shall include taxes and duties (excluding VAT 21%), as well as expenses arising from the duties and obligations of the Tenderer mentioned in these Tender Regulations and Technical Specification (Annex No. 1); </w:t>
      </w:r>
    </w:p>
    <w:p w14:paraId="4F0176F7" w14:textId="7671C4A4" w:rsidR="009A7C77" w:rsidRPr="00156496" w:rsidRDefault="008876B9" w:rsidP="009A7C77">
      <w:pPr>
        <w:spacing w:after="0" w:line="240" w:lineRule="auto"/>
        <w:ind w:left="709" w:hanging="283"/>
        <w:jc w:val="both"/>
        <w:rPr>
          <w:rFonts w:ascii="Times New Roman" w:eastAsia="Times New Roman" w:hAnsi="Times New Roman" w:cs="Times New Roman"/>
          <w:color w:val="000000"/>
          <w:sz w:val="24"/>
          <w:szCs w:val="20"/>
        </w:rPr>
      </w:pPr>
      <w:r>
        <w:rPr>
          <w:rFonts w:ascii="Times New Roman" w:hAnsi="Times New Roman"/>
          <w:color w:val="000000"/>
          <w:sz w:val="24"/>
          <w:szCs w:val="20"/>
        </w:rPr>
        <w:t>c)</w:t>
      </w:r>
      <w:r>
        <w:rPr>
          <w:rFonts w:ascii="Times New Roman" w:hAnsi="Times New Roman"/>
          <w:color w:val="000000"/>
          <w:sz w:val="24"/>
          <w:szCs w:val="20"/>
        </w:rPr>
        <w:tab/>
        <w:t xml:space="preserve">separate costs of each technical equipment or assemblage item, as much as possible. </w:t>
      </w:r>
    </w:p>
    <w:p w14:paraId="063DD38D" w14:textId="41711A72" w:rsidR="009A7C77" w:rsidRPr="00156496" w:rsidRDefault="008876B9" w:rsidP="009A7C77">
      <w:pPr>
        <w:spacing w:after="0" w:line="240" w:lineRule="auto"/>
        <w:ind w:left="709" w:hanging="283"/>
        <w:jc w:val="both"/>
        <w:rPr>
          <w:rFonts w:ascii="Times New Roman" w:eastAsia="Times New Roman" w:hAnsi="Times New Roman" w:cs="Times New Roman"/>
          <w:color w:val="000000"/>
          <w:sz w:val="24"/>
          <w:szCs w:val="20"/>
        </w:rPr>
      </w:pPr>
      <w:r>
        <w:rPr>
          <w:sz w:val="24"/>
          <w:szCs w:val="20"/>
        </w:rPr>
        <w:t>d)</w:t>
      </w:r>
      <w:r>
        <w:rPr>
          <w:sz w:val="24"/>
          <w:szCs w:val="20"/>
        </w:rPr>
        <w:tab/>
        <w:t>offered payment terms in accordance with Articles 7.3.3, 7.3.4, 7.3.5 of the Tender Regulations;</w:t>
      </w:r>
    </w:p>
    <w:p w14:paraId="0CE97854" w14:textId="2D647850" w:rsidR="009A7C77" w:rsidRPr="00156496" w:rsidRDefault="008876B9" w:rsidP="009A7C77">
      <w:pPr>
        <w:spacing w:after="0" w:line="240" w:lineRule="auto"/>
        <w:ind w:left="709" w:hanging="283"/>
        <w:jc w:val="both"/>
        <w:rPr>
          <w:rFonts w:ascii="Times New Roman" w:eastAsia="Times New Roman" w:hAnsi="Times New Roman" w:cs="Times New Roman"/>
          <w:color w:val="000000"/>
          <w:sz w:val="24"/>
          <w:szCs w:val="20"/>
        </w:rPr>
      </w:pPr>
      <w:r>
        <w:rPr>
          <w:rFonts w:ascii="Times New Roman" w:hAnsi="Times New Roman"/>
          <w:color w:val="000000"/>
          <w:sz w:val="24"/>
          <w:szCs w:val="20"/>
        </w:rPr>
        <w:t>e)</w:t>
      </w:r>
      <w:r>
        <w:rPr>
          <w:rFonts w:ascii="Times New Roman" w:hAnsi="Times New Roman"/>
          <w:color w:val="000000"/>
          <w:sz w:val="24"/>
          <w:szCs w:val="20"/>
        </w:rPr>
        <w:tab/>
        <w:t>Order execution period;</w:t>
      </w:r>
    </w:p>
    <w:p w14:paraId="73B9F984" w14:textId="7B53C702" w:rsidR="009A7C77" w:rsidRPr="00156496" w:rsidRDefault="008876B9" w:rsidP="009A7C77">
      <w:pPr>
        <w:spacing w:after="0" w:line="240" w:lineRule="auto"/>
        <w:ind w:left="709" w:hanging="283"/>
        <w:jc w:val="both"/>
        <w:rPr>
          <w:rFonts w:ascii="Times New Roman" w:eastAsia="Times New Roman" w:hAnsi="Times New Roman" w:cs="Times New Roman"/>
          <w:sz w:val="24"/>
          <w:szCs w:val="20"/>
        </w:rPr>
      </w:pPr>
      <w:r>
        <w:rPr>
          <w:rFonts w:ascii="Times New Roman" w:hAnsi="Times New Roman"/>
          <w:sz w:val="24"/>
          <w:szCs w:val="20"/>
        </w:rPr>
        <w:t>f)</w:t>
      </w:r>
      <w:r>
        <w:rPr>
          <w:rFonts w:ascii="Times New Roman" w:hAnsi="Times New Roman"/>
          <w:sz w:val="24"/>
          <w:szCs w:val="20"/>
        </w:rPr>
        <w:tab/>
        <w:t>offered warranty liabilities; warranty and after-warranty service security;</w:t>
      </w:r>
    </w:p>
    <w:p w14:paraId="40A63656" w14:textId="10F982F6" w:rsidR="009A7C77" w:rsidRPr="00156496" w:rsidRDefault="008876B9" w:rsidP="009A7C77">
      <w:pPr>
        <w:spacing w:after="0" w:line="240" w:lineRule="auto"/>
        <w:ind w:left="709" w:hanging="283"/>
        <w:jc w:val="both"/>
        <w:rPr>
          <w:rFonts w:ascii="RimHelvetica" w:eastAsia="Times New Roman" w:hAnsi="RimHelvetica" w:cs="Times New Roman"/>
          <w:sz w:val="24"/>
          <w:szCs w:val="20"/>
        </w:rPr>
      </w:pPr>
      <w:r>
        <w:rPr>
          <w:sz w:val="24"/>
          <w:szCs w:val="20"/>
        </w:rPr>
        <w:t>g)</w:t>
      </w:r>
      <w:r>
        <w:rPr>
          <w:sz w:val="24"/>
          <w:szCs w:val="20"/>
        </w:rPr>
        <w:tab/>
        <w:t>equipment specification of the offered lorry trailer with the body of the residential caravan, specifying the technical data, manufacturer and country of origin (in Latvian, in English); necessary certificates;</w:t>
      </w:r>
    </w:p>
    <w:p w14:paraId="437F64F9" w14:textId="77777777" w:rsidR="009A7C77" w:rsidRPr="00156496" w:rsidRDefault="009A7C77" w:rsidP="009A7C77">
      <w:pPr>
        <w:numPr>
          <w:ilvl w:val="1"/>
          <w:numId w:val="9"/>
        </w:numPr>
        <w:spacing w:after="0" w:line="240" w:lineRule="auto"/>
        <w:jc w:val="both"/>
        <w:rPr>
          <w:rFonts w:ascii="Times New Roman" w:eastAsia="Times New Roman" w:hAnsi="Times New Roman" w:cs="Times New Roman"/>
          <w:sz w:val="24"/>
          <w:szCs w:val="20"/>
        </w:rPr>
      </w:pPr>
      <w:bookmarkStart w:id="6" w:name="_Ref425581770"/>
      <w:r>
        <w:rPr>
          <w:rFonts w:ascii="Times New Roman" w:hAnsi="Times New Roman"/>
          <w:sz w:val="24"/>
          <w:szCs w:val="20"/>
        </w:rPr>
        <w:t>The Tenderer shall append the following documents to the tender:</w:t>
      </w:r>
    </w:p>
    <w:p w14:paraId="0951753C"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 xml:space="preserve">electronically prepared “Statement on Existence or Non-Existence of the Taxpayer’s Tax (Duty) Debt Administered by SRS” (link: </w:t>
      </w:r>
      <w:hyperlink r:id="rId10" w:history="1">
        <w:r>
          <w:rPr>
            <w:rStyle w:val="Hyperlink"/>
            <w:rFonts w:ascii="Times New Roman" w:hAnsi="Times New Roman"/>
            <w:sz w:val="24"/>
          </w:rPr>
          <w:t>https://www6.vid.gov.lv/VID_PDB/NPAR/</w:t>
        </w:r>
      </w:hyperlink>
      <w:r>
        <w:rPr>
          <w:rFonts w:ascii="Times New Roman" w:hAnsi="Times New Roman"/>
          <w:sz w:val="24"/>
        </w:rPr>
        <w:t>). The statement may not be older than 1 (one) month on the day of submission of the tender;</w:t>
      </w:r>
    </w:p>
    <w:p w14:paraId="150B2AEF"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Operative balance sheet of the Tenderer and copies of the profit/loss statement as at 31.12.2019, as well as copies of the annual reports as at 31.12.2018 and 31.12.2017;</w:t>
      </w:r>
    </w:p>
    <w:p w14:paraId="687AC5C6"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A statement issued by the Tenderer that the equity of the Tenderer as at the moment of the submission of the tender exceeds the share capital;</w:t>
      </w:r>
    </w:p>
    <w:p w14:paraId="49022A8D"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 xml:space="preserve">Copies of the valid certificates and licences (if any) issued to the Tenderer certifying its rights to perform the offered commodity; </w:t>
      </w:r>
    </w:p>
    <w:p w14:paraId="73273318"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A copy of the third-party liability insurance policy of the Tenderer’s service, as well as copies of other insurance policies at the discretion of the Tenderer;</w:t>
      </w:r>
    </w:p>
    <w:p w14:paraId="41E011AF" w14:textId="77777777" w:rsidR="009A7C77" w:rsidRPr="00156496" w:rsidRDefault="009A7C77" w:rsidP="009A7C77">
      <w:pPr>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Copies of ISO standards for the business management system issued to the Tenderer, if any;</w:t>
      </w:r>
    </w:p>
    <w:p w14:paraId="4C134B0D" w14:textId="77777777" w:rsidR="009A7C77" w:rsidRPr="00385BFB" w:rsidRDefault="009A7C77" w:rsidP="009A7C77">
      <w:pPr>
        <w:pStyle w:val="ListParagraph"/>
        <w:numPr>
          <w:ilvl w:val="0"/>
          <w:numId w:val="4"/>
        </w:numPr>
        <w:tabs>
          <w:tab w:val="clear" w:pos="1080"/>
          <w:tab w:val="left" w:pos="1418"/>
          <w:tab w:val="left" w:pos="2127"/>
        </w:tabs>
        <w:spacing w:after="0" w:line="240" w:lineRule="auto"/>
        <w:ind w:left="709" w:hanging="283"/>
        <w:jc w:val="both"/>
        <w:rPr>
          <w:rFonts w:ascii="Times New Roman" w:eastAsia="Calibri" w:hAnsi="Times New Roman" w:cs="Times New Roman"/>
          <w:sz w:val="24"/>
        </w:rPr>
      </w:pPr>
      <w:r>
        <w:rPr>
          <w:rFonts w:ascii="Times New Roman" w:hAnsi="Times New Roman"/>
          <w:sz w:val="24"/>
        </w:rPr>
        <w:t>A list prepared by the Tenderer on similar order performed by it, specifying information on recipient of the order.</w:t>
      </w:r>
    </w:p>
    <w:bookmarkEnd w:id="6"/>
    <w:p w14:paraId="1B3321D1" w14:textId="77777777" w:rsidR="009A7C77" w:rsidRPr="00156496" w:rsidRDefault="009A7C77" w:rsidP="009A7C77">
      <w:pPr>
        <w:spacing w:after="0" w:line="240" w:lineRule="auto"/>
        <w:rPr>
          <w:rFonts w:ascii="Times New Roman" w:eastAsia="Times New Roman" w:hAnsi="Times New Roman" w:cs="Times New Roman"/>
          <w:b/>
          <w:sz w:val="24"/>
          <w:szCs w:val="20"/>
        </w:rPr>
      </w:pPr>
      <w:r>
        <w:rPr>
          <w:rFonts w:ascii="Times New Roman" w:hAnsi="Times New Roman"/>
          <w:b/>
          <w:sz w:val="24"/>
          <w:szCs w:val="20"/>
        </w:rPr>
        <w:t xml:space="preserve">                        </w:t>
      </w:r>
    </w:p>
    <w:p w14:paraId="13A51E94"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4.     Provisions for Preparation, Execution and Submission of Tenders</w:t>
      </w:r>
    </w:p>
    <w:p w14:paraId="4092CA77" w14:textId="77777777" w:rsidR="009A7C77" w:rsidRPr="00156496" w:rsidRDefault="009A7C77" w:rsidP="009A7C77">
      <w:pPr>
        <w:spacing w:after="0" w:line="240" w:lineRule="auto"/>
        <w:rPr>
          <w:rFonts w:ascii="Times New Roman" w:eastAsia="Times New Roman" w:hAnsi="Times New Roman" w:cs="Times New Roman"/>
          <w:b/>
          <w:sz w:val="24"/>
          <w:szCs w:val="20"/>
        </w:rPr>
      </w:pPr>
    </w:p>
    <w:p w14:paraId="5A6E01A2" w14:textId="77777777" w:rsidR="009A7C77" w:rsidRPr="00156496" w:rsidRDefault="009A7C77" w:rsidP="009A7C77">
      <w:pPr>
        <w:numPr>
          <w:ilvl w:val="1"/>
          <w:numId w:val="8"/>
        </w:numPr>
        <w:tabs>
          <w:tab w:val="clear" w:pos="360"/>
          <w:tab w:val="num" w:pos="567"/>
        </w:tabs>
        <w:spacing w:after="0" w:line="240" w:lineRule="auto"/>
        <w:ind w:left="567" w:hanging="567"/>
        <w:jc w:val="both"/>
        <w:rPr>
          <w:rFonts w:ascii="Times New Roman" w:eastAsia="Times New Roman" w:hAnsi="Times New Roman" w:cs="Times New Roman"/>
          <w:sz w:val="24"/>
          <w:szCs w:val="20"/>
        </w:rPr>
      </w:pPr>
      <w:r>
        <w:rPr>
          <w:rFonts w:ascii="Times New Roman" w:hAnsi="Times New Roman"/>
          <w:sz w:val="24"/>
          <w:szCs w:val="20"/>
        </w:rPr>
        <w:t xml:space="preserve">The Tenderer shall prepare the tender in writing – in typewriting; pages shall be numbered and stringed through in the sequence specified in Article 3. Fastening of the string ends shall be certified by a seal and a signature. The tender shall be presented in Latvian. </w:t>
      </w:r>
    </w:p>
    <w:p w14:paraId="49418BDA" w14:textId="77777777" w:rsidR="009A7C77" w:rsidRPr="00156496" w:rsidRDefault="009A7C77" w:rsidP="009A7C77">
      <w:pPr>
        <w:numPr>
          <w:ilvl w:val="1"/>
          <w:numId w:val="8"/>
        </w:numPr>
        <w:tabs>
          <w:tab w:val="clear" w:pos="360"/>
          <w:tab w:val="num" w:pos="567"/>
        </w:tabs>
        <w:spacing w:after="0" w:line="240" w:lineRule="auto"/>
        <w:ind w:left="567" w:hanging="567"/>
        <w:jc w:val="both"/>
        <w:rPr>
          <w:rFonts w:ascii="Times New Roman" w:eastAsia="Times New Roman" w:hAnsi="Times New Roman" w:cs="Times New Roman"/>
          <w:sz w:val="24"/>
          <w:szCs w:val="20"/>
        </w:rPr>
      </w:pPr>
      <w:r>
        <w:rPr>
          <w:rFonts w:ascii="Times New Roman" w:hAnsi="Times New Roman"/>
          <w:sz w:val="24"/>
          <w:szCs w:val="20"/>
        </w:rPr>
        <w:t>Tender and specification shall be signed by the manager of the company or the person authorised by the manager.</w:t>
      </w:r>
    </w:p>
    <w:p w14:paraId="729F0887" w14:textId="77777777" w:rsidR="009A7C77" w:rsidRPr="00156496" w:rsidRDefault="009A7C77" w:rsidP="009A7C77">
      <w:pPr>
        <w:numPr>
          <w:ilvl w:val="1"/>
          <w:numId w:val="8"/>
        </w:numPr>
        <w:tabs>
          <w:tab w:val="clear" w:pos="360"/>
          <w:tab w:val="num" w:pos="567"/>
        </w:tabs>
        <w:spacing w:after="0" w:line="240" w:lineRule="auto"/>
        <w:ind w:left="567" w:hanging="567"/>
        <w:jc w:val="both"/>
        <w:rPr>
          <w:rFonts w:ascii="Times New Roman" w:eastAsia="Times New Roman" w:hAnsi="Times New Roman" w:cs="Times New Roman"/>
          <w:sz w:val="24"/>
          <w:szCs w:val="20"/>
        </w:rPr>
      </w:pPr>
      <w:r>
        <w:rPr>
          <w:rFonts w:ascii="Times New Roman" w:hAnsi="Times New Roman"/>
          <w:sz w:val="24"/>
          <w:szCs w:val="20"/>
        </w:rPr>
        <w:t>Prices of the tender shall be specified in Euro (EUR), VAT excluded. If the estimate shall not include accurate data on prices of assemblage, additional equipment, etc., it shall be considered as included in the price of the tender.</w:t>
      </w:r>
    </w:p>
    <w:p w14:paraId="5A17172E" w14:textId="77777777" w:rsidR="009A7C77" w:rsidRPr="00156496" w:rsidRDefault="009A7C77" w:rsidP="009A7C77">
      <w:pPr>
        <w:numPr>
          <w:ilvl w:val="1"/>
          <w:numId w:val="8"/>
        </w:numPr>
        <w:tabs>
          <w:tab w:val="clear" w:pos="360"/>
          <w:tab w:val="num" w:pos="567"/>
        </w:tabs>
        <w:spacing w:after="0" w:line="240" w:lineRule="auto"/>
        <w:ind w:left="567" w:hanging="567"/>
        <w:jc w:val="both"/>
        <w:rPr>
          <w:rFonts w:ascii="Times New Roman" w:eastAsia="Times New Roman" w:hAnsi="Times New Roman" w:cs="Times New Roman"/>
          <w:sz w:val="24"/>
          <w:szCs w:val="20"/>
        </w:rPr>
      </w:pPr>
      <w:r>
        <w:rPr>
          <w:rFonts w:ascii="Times New Roman" w:hAnsi="Times New Roman"/>
          <w:sz w:val="24"/>
          <w:szCs w:val="20"/>
        </w:rPr>
        <w:lastRenderedPageBreak/>
        <w:t>Tender validity period should not be less than 90 days, counting from the deadline for submission of tenders specified in Article 4.6 of the Tender Regulations.</w:t>
      </w:r>
    </w:p>
    <w:p w14:paraId="42E12E88" w14:textId="77777777" w:rsidR="009A7C77" w:rsidRPr="00156496" w:rsidRDefault="009A7C77" w:rsidP="009A7C77">
      <w:pPr>
        <w:numPr>
          <w:ilvl w:val="1"/>
          <w:numId w:val="8"/>
        </w:numPr>
        <w:tabs>
          <w:tab w:val="clear" w:pos="360"/>
          <w:tab w:val="num" w:pos="567"/>
        </w:tabs>
        <w:spacing w:after="0" w:line="240" w:lineRule="auto"/>
        <w:ind w:left="567" w:hanging="567"/>
        <w:jc w:val="both"/>
        <w:rPr>
          <w:rFonts w:ascii="Times New Roman" w:eastAsia="Times New Roman" w:hAnsi="Times New Roman" w:cs="Times New Roman"/>
          <w:sz w:val="24"/>
          <w:szCs w:val="20"/>
        </w:rPr>
      </w:pPr>
      <w:r>
        <w:rPr>
          <w:rFonts w:ascii="Times New Roman" w:hAnsi="Times New Roman"/>
          <w:sz w:val="24"/>
          <w:szCs w:val="20"/>
        </w:rPr>
        <w:t>Tender shall be submitted in one secured and sealed envelope with enclosed 2 counterparts of the tender (one counterpart of the tender shall be original, and one shall be a copy of tender, respectively marked with an inscription “Original” and “Copy”). The name and address of the Commissioning Authority, the name, address of the Tenderer, and the title of the Tender shall be specified on the envelope.</w:t>
      </w:r>
      <w:bookmarkStart w:id="7" w:name="_Ref422811606"/>
    </w:p>
    <w:p w14:paraId="53C2E3AF" w14:textId="77777777" w:rsidR="009A7C77" w:rsidRPr="00F34585" w:rsidRDefault="009A7C77" w:rsidP="009A7C77">
      <w:pPr>
        <w:numPr>
          <w:ilvl w:val="1"/>
          <w:numId w:val="8"/>
        </w:numPr>
        <w:tabs>
          <w:tab w:val="clear" w:pos="360"/>
        </w:tabs>
        <w:ind w:left="567" w:hanging="567"/>
        <w:jc w:val="both"/>
        <w:rPr>
          <w:rFonts w:ascii="Times New Roman" w:eastAsia="Times New Roman" w:hAnsi="Times New Roman" w:cs="Times New Roman"/>
          <w:sz w:val="24"/>
          <w:szCs w:val="20"/>
        </w:rPr>
      </w:pPr>
      <w:r>
        <w:rPr>
          <w:rFonts w:ascii="Times New Roman" w:hAnsi="Times New Roman"/>
          <w:sz w:val="24"/>
          <w:szCs w:val="20"/>
        </w:rPr>
        <w:t xml:space="preserve">Tenders shall be submitted at the Riga office of the Commissioning Authority, address: SIA „LatRosTrans”, Sporta iela 11, 8th floor, Riga, LV-1013, </w:t>
      </w:r>
      <w:r>
        <w:rPr>
          <w:rFonts w:ascii="Times New Roman" w:hAnsi="Times New Roman"/>
          <w:b/>
          <w:sz w:val="24"/>
          <w:szCs w:val="20"/>
        </w:rPr>
        <w:t>by 18 March 2020, 14.00.</w:t>
      </w:r>
      <w:r>
        <w:rPr>
          <w:rFonts w:ascii="Times New Roman" w:hAnsi="Times New Roman"/>
          <w:sz w:val="24"/>
          <w:szCs w:val="20"/>
        </w:rPr>
        <w:t xml:space="preserve"> </w:t>
      </w:r>
    </w:p>
    <w:bookmarkEnd w:id="7"/>
    <w:p w14:paraId="76A586F7" w14:textId="77777777" w:rsidR="009A7C77" w:rsidRDefault="009A7C77" w:rsidP="009A7C77">
      <w:pPr>
        <w:spacing w:after="0" w:line="240" w:lineRule="auto"/>
        <w:rPr>
          <w:rFonts w:ascii="Times New Roman" w:eastAsia="Times New Roman" w:hAnsi="Times New Roman" w:cs="Times New Roman"/>
          <w:sz w:val="24"/>
          <w:szCs w:val="20"/>
        </w:rPr>
      </w:pPr>
    </w:p>
    <w:p w14:paraId="47379C21" w14:textId="77777777" w:rsidR="000C5AA1" w:rsidRPr="00156496" w:rsidRDefault="000C5AA1" w:rsidP="009A7C77">
      <w:pPr>
        <w:spacing w:after="0" w:line="240" w:lineRule="auto"/>
        <w:rPr>
          <w:rFonts w:ascii="Times New Roman" w:eastAsia="Times New Roman" w:hAnsi="Times New Roman" w:cs="Times New Roman"/>
          <w:sz w:val="24"/>
          <w:szCs w:val="20"/>
        </w:rPr>
      </w:pPr>
    </w:p>
    <w:p w14:paraId="3B6D7521" w14:textId="77777777" w:rsidR="009A7C77" w:rsidRPr="00156496" w:rsidRDefault="009A7C77" w:rsidP="009A7C77">
      <w:pPr>
        <w:numPr>
          <w:ilvl w:val="0"/>
          <w:numId w:val="8"/>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Opening of Tenders and Verification of Qualification</w:t>
      </w:r>
    </w:p>
    <w:p w14:paraId="71335657" w14:textId="77777777" w:rsidR="009A7C77" w:rsidRPr="00156496" w:rsidRDefault="009A7C77" w:rsidP="009A7C77">
      <w:pPr>
        <w:spacing w:after="0" w:line="240" w:lineRule="auto"/>
        <w:jc w:val="both"/>
        <w:rPr>
          <w:rFonts w:ascii="Times New Roman" w:eastAsia="Times New Roman" w:hAnsi="Times New Roman" w:cs="Times New Roman"/>
          <w:sz w:val="24"/>
          <w:szCs w:val="20"/>
        </w:rPr>
      </w:pPr>
      <w:bookmarkStart w:id="8" w:name="_Ref422899608"/>
      <w:bookmarkStart w:id="9" w:name="_Ref443376863"/>
    </w:p>
    <w:p w14:paraId="59844243" w14:textId="77777777" w:rsidR="009A7C77" w:rsidRPr="00156496" w:rsidRDefault="009A7C77" w:rsidP="009A7C77">
      <w:pPr>
        <w:numPr>
          <w:ilvl w:val="1"/>
          <w:numId w:val="8"/>
        </w:numPr>
        <w:spacing w:after="0" w:line="240" w:lineRule="auto"/>
        <w:jc w:val="both"/>
        <w:rPr>
          <w:rFonts w:ascii="Times New Roman" w:eastAsia="Calibri" w:hAnsi="Times New Roman" w:cs="Times New Roman"/>
          <w:sz w:val="24"/>
        </w:rPr>
      </w:pPr>
      <w:r>
        <w:rPr>
          <w:rFonts w:ascii="Times New Roman" w:hAnsi="Times New Roman"/>
          <w:sz w:val="24"/>
        </w:rPr>
        <w:t xml:space="preserve"> </w:t>
      </w:r>
      <w:bookmarkStart w:id="10" w:name="_Ref433599723"/>
      <w:r>
        <w:rPr>
          <w:rFonts w:ascii="Times New Roman" w:hAnsi="Times New Roman"/>
          <w:sz w:val="24"/>
        </w:rPr>
        <w:t xml:space="preserve">The Procurement Commission shall open the tenders </w:t>
      </w:r>
      <w:bookmarkEnd w:id="10"/>
      <w:r>
        <w:rPr>
          <w:rFonts w:ascii="Times New Roman" w:hAnsi="Times New Roman"/>
          <w:sz w:val="24"/>
        </w:rPr>
        <w:t>in a closed meeting of the Procurement Commission without participation of the representatives of Tenderers. Name of the person submitting the tender, prices of tender, offered alternatives, if any, as well as any information at the discretion of the Procurement Commission shall be read at the meeting of opening the tenders. After the mentioned information has been read, the meeting of the opening of tenders shall be closed, and the tenders of the Tenderers shall be transferred to the responsible services of the Commissioning Authority for verification of the Tenderer’s qualification and verification of the significant compliance.</w:t>
      </w:r>
    </w:p>
    <w:p w14:paraId="41EEEB84" w14:textId="77777777" w:rsidR="009A7C77" w:rsidRPr="00156496" w:rsidRDefault="009A7C77" w:rsidP="009A7C77">
      <w:pPr>
        <w:numPr>
          <w:ilvl w:val="1"/>
          <w:numId w:val="8"/>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 xml:space="preserve"> To qualify for execution of the order, the Tenderer shall conform to the following requirements:</w:t>
      </w:r>
      <w:bookmarkEnd w:id="8"/>
      <w:bookmarkEnd w:id="9"/>
    </w:p>
    <w:p w14:paraId="05CE055E" w14:textId="77777777" w:rsidR="009A7C77"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 xml:space="preserve">The Tenderer does not have a tax (duty) debt administered by SRS, the total amount of which exceeds EUR 150.00; </w:t>
      </w:r>
    </w:p>
    <w:p w14:paraId="4BB09587" w14:textId="77777777" w:rsidR="009A7C77" w:rsidRPr="00156496"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The Tenderer and/or sub-contractor has licences permitting execution of the Order, if necessary;</w:t>
      </w:r>
    </w:p>
    <w:p w14:paraId="50654697" w14:textId="77777777" w:rsidR="009A7C77" w:rsidRPr="00156496"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The Tenderer has experience in execution of similar orders, and it has executed orders of similar complexity within the last 3 years;</w:t>
      </w:r>
    </w:p>
    <w:p w14:paraId="5851F3EF" w14:textId="77777777" w:rsidR="009A7C77" w:rsidRPr="00156496"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Equity of the Tenderer as at the moment of the submission of the tender exceeds the share capital;</w:t>
      </w:r>
    </w:p>
    <w:p w14:paraId="5B07F2F0" w14:textId="77777777" w:rsidR="009A7C77"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The Tenderer has sufficient financial capacity to execute the Order, including long-term stability should be reflected by financial data; the Tenderer does not have a negative credit risk or insolvency assessment;</w:t>
      </w:r>
    </w:p>
    <w:p w14:paraId="5AFFB63B" w14:textId="77777777" w:rsidR="00377AD7" w:rsidRPr="00156496" w:rsidRDefault="00377AD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Annual net turnover of the Tenderer for the previous year should be at least to the double amount of the total price specified in the Tenderer’s tender;</w:t>
      </w:r>
    </w:p>
    <w:p w14:paraId="1EFED57E" w14:textId="77777777" w:rsidR="009A7C77" w:rsidRPr="00156496"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 xml:space="preserve"> The Tenderer may ensure the warranties and after-warranty service for the offered subject of order; </w:t>
      </w:r>
    </w:p>
    <w:p w14:paraId="3151175E" w14:textId="77777777" w:rsidR="009A7C77" w:rsidRPr="00156496" w:rsidRDefault="009A7C77" w:rsidP="009A7C77">
      <w:pPr>
        <w:numPr>
          <w:ilvl w:val="0"/>
          <w:numId w:val="3"/>
        </w:numPr>
        <w:tabs>
          <w:tab w:val="left" w:pos="1418"/>
          <w:tab w:val="left" w:pos="2127"/>
        </w:tabs>
        <w:spacing w:after="0" w:line="240" w:lineRule="auto"/>
        <w:jc w:val="both"/>
        <w:rPr>
          <w:rFonts w:ascii="Times New Roman" w:eastAsia="Calibri" w:hAnsi="Times New Roman" w:cs="Times New Roman"/>
          <w:sz w:val="24"/>
        </w:rPr>
      </w:pPr>
      <w:r>
        <w:rPr>
          <w:rFonts w:ascii="Times New Roman" w:hAnsi="Times New Roman"/>
          <w:sz w:val="24"/>
        </w:rPr>
        <w:t>The Commissioning Authority does not have a negative experience of previous cooperation with the Tenderer or sub-contractors in relation to quality of the performance of orders, compliance with deadlines, execution of the warranty obligations.</w:t>
      </w:r>
    </w:p>
    <w:p w14:paraId="0EFA4DC3" w14:textId="77777777" w:rsidR="009A7C77" w:rsidRPr="00156496" w:rsidRDefault="009A7C77" w:rsidP="009A7C77">
      <w:pPr>
        <w:numPr>
          <w:ilvl w:val="0"/>
          <w:numId w:val="3"/>
        </w:numPr>
        <w:spacing w:after="0" w:line="240" w:lineRule="auto"/>
        <w:ind w:left="714" w:hanging="357"/>
        <w:jc w:val="both"/>
        <w:rPr>
          <w:rFonts w:ascii="Times New Roman" w:eastAsia="Calibri" w:hAnsi="Times New Roman" w:cs="Times New Roman"/>
          <w:sz w:val="24"/>
        </w:rPr>
      </w:pPr>
      <w:r>
        <w:rPr>
          <w:rFonts w:ascii="Times New Roman" w:hAnsi="Times New Roman"/>
          <w:sz w:val="24"/>
        </w:rPr>
        <w:t>There are no negative references from other customers in relation to compliance of the Orders executed by the Tenderer and execution of warranty obligations.</w:t>
      </w:r>
    </w:p>
    <w:p w14:paraId="3385F8CC" w14:textId="77777777" w:rsidR="009A7C77" w:rsidRPr="00156496" w:rsidRDefault="009A7C77" w:rsidP="009A7C77">
      <w:pPr>
        <w:numPr>
          <w:ilvl w:val="1"/>
          <w:numId w:val="8"/>
        </w:numPr>
        <w:spacing w:after="0" w:line="240" w:lineRule="auto"/>
        <w:ind w:left="357" w:hanging="357"/>
        <w:jc w:val="both"/>
        <w:rPr>
          <w:rFonts w:ascii="Times New Roman" w:eastAsia="Times New Roman" w:hAnsi="Times New Roman" w:cs="Times New Roman"/>
          <w:sz w:val="24"/>
          <w:szCs w:val="20"/>
        </w:rPr>
      </w:pPr>
      <w:r>
        <w:rPr>
          <w:rFonts w:ascii="Times New Roman" w:hAnsi="Times New Roman"/>
          <w:sz w:val="24"/>
          <w:szCs w:val="20"/>
        </w:rPr>
        <w:t xml:space="preserve">After verification of the Tenderer’s qualification, the responsible services of the Commissioning Authority shall inform the Procurement Commission on outcomes of the qualification inspection, and the Procurement Commission shall make a decision on compliance of each Tenderer with the qualification requirements laid down in Article 5.2. The Procurement Commission shall be entitled to accept or deny any deviation from the qualification requirements specified in the Tender Regulations if it is economically beneficial for the Commissioning Authority.  The tenders of those Tenderers the qualification of which will be acknowledged as insufficient by the Procurement Commission shall be rejected without detailed assessment of tenders. </w:t>
      </w:r>
    </w:p>
    <w:p w14:paraId="35A68479" w14:textId="77777777" w:rsidR="009A7C77" w:rsidRPr="00156496" w:rsidRDefault="009A7C77" w:rsidP="009A7C77">
      <w:pPr>
        <w:spacing w:after="0" w:line="240" w:lineRule="auto"/>
        <w:rPr>
          <w:rFonts w:ascii="Times New Roman" w:eastAsia="Times New Roman" w:hAnsi="Times New Roman" w:cs="Times New Roman"/>
          <w:sz w:val="24"/>
          <w:szCs w:val="20"/>
        </w:rPr>
      </w:pPr>
    </w:p>
    <w:p w14:paraId="5034F20B" w14:textId="77777777" w:rsidR="009A7C77" w:rsidRPr="00156496" w:rsidRDefault="009A7C77" w:rsidP="009A7C77">
      <w:pPr>
        <w:numPr>
          <w:ilvl w:val="0"/>
          <w:numId w:val="7"/>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 xml:space="preserve"> Verification and Assessment of the Significant Compliance of Tenders</w:t>
      </w:r>
    </w:p>
    <w:p w14:paraId="1A3672E7" w14:textId="77777777" w:rsidR="009A7C77" w:rsidRPr="00156496" w:rsidRDefault="009A7C77" w:rsidP="009A7C77">
      <w:pPr>
        <w:spacing w:after="0" w:line="240" w:lineRule="auto"/>
        <w:rPr>
          <w:rFonts w:ascii="Times New Roman" w:eastAsia="Times New Roman" w:hAnsi="Times New Roman" w:cs="Times New Roman"/>
          <w:b/>
          <w:sz w:val="24"/>
          <w:szCs w:val="20"/>
        </w:rPr>
      </w:pPr>
    </w:p>
    <w:p w14:paraId="35E2D8C4"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 xml:space="preserve">After verification of the Tenderer’s qualification, the Procurement Commission shall inspect the significant compliance of the received tenders. The tenders shall be considered significantly non-compliant if: </w:t>
      </w:r>
    </w:p>
    <w:p w14:paraId="5AA2B0AB" w14:textId="77777777" w:rsidR="009A7C77" w:rsidRPr="00156496" w:rsidRDefault="009A7C77" w:rsidP="009A7C77">
      <w:pPr>
        <w:numPr>
          <w:ilvl w:val="1"/>
          <w:numId w:val="4"/>
        </w:numPr>
        <w:tabs>
          <w:tab w:val="left" w:pos="851"/>
        </w:tabs>
        <w:spacing w:after="0" w:line="240" w:lineRule="auto"/>
        <w:ind w:left="1134" w:hanging="283"/>
        <w:jc w:val="both"/>
        <w:rPr>
          <w:rFonts w:ascii="Times New Roman" w:eastAsia="Times New Roman" w:hAnsi="Times New Roman" w:cs="Times New Roman"/>
          <w:sz w:val="24"/>
          <w:szCs w:val="20"/>
        </w:rPr>
      </w:pPr>
      <w:r>
        <w:rPr>
          <w:rFonts w:ascii="Times New Roman" w:hAnsi="Times New Roman"/>
          <w:sz w:val="24"/>
          <w:szCs w:val="20"/>
        </w:rPr>
        <w:t xml:space="preserve">Documents required in Articles 3.1 and 3.2 of the Tender Regulations or information considered necessary by the Commissioning Authority has not been enclosed in the tender, and request for </w:t>
      </w:r>
      <w:r>
        <w:rPr>
          <w:rFonts w:ascii="Times New Roman" w:hAnsi="Times New Roman"/>
          <w:sz w:val="24"/>
          <w:szCs w:val="20"/>
        </w:rPr>
        <w:lastRenderedPageBreak/>
        <w:t xml:space="preserve">such information would affect the competitive position of the other tenderers during the process of evaluation; </w:t>
      </w:r>
    </w:p>
    <w:p w14:paraId="2E606551" w14:textId="77777777" w:rsidR="009A7C77" w:rsidRPr="00156496" w:rsidRDefault="009A7C77" w:rsidP="009A7C77">
      <w:pPr>
        <w:numPr>
          <w:ilvl w:val="1"/>
          <w:numId w:val="4"/>
        </w:numPr>
        <w:tabs>
          <w:tab w:val="num" w:pos="1134"/>
        </w:tabs>
        <w:spacing w:after="0" w:line="240" w:lineRule="auto"/>
        <w:ind w:left="1134" w:hanging="283"/>
        <w:jc w:val="both"/>
        <w:rPr>
          <w:rFonts w:ascii="Times New Roman" w:eastAsia="Times New Roman" w:hAnsi="Times New Roman" w:cs="Times New Roman"/>
          <w:sz w:val="24"/>
          <w:szCs w:val="20"/>
        </w:rPr>
      </w:pPr>
      <w:r>
        <w:rPr>
          <w:rFonts w:ascii="Times New Roman" w:hAnsi="Times New Roman"/>
          <w:sz w:val="24"/>
          <w:szCs w:val="20"/>
        </w:rPr>
        <w:t xml:space="preserve">The offered subject of the order significantly differs from the requirements of the Tender Regulations; or significant information on subject of transaction required by the Tender Regulations has not been enclosed; </w:t>
      </w:r>
    </w:p>
    <w:p w14:paraId="431B9C0F" w14:textId="77777777" w:rsidR="009A7C77" w:rsidRPr="00156496" w:rsidRDefault="009A7C77" w:rsidP="009A7C77">
      <w:pPr>
        <w:numPr>
          <w:ilvl w:val="1"/>
          <w:numId w:val="4"/>
        </w:numPr>
        <w:tabs>
          <w:tab w:val="num" w:pos="1134"/>
        </w:tabs>
        <w:spacing w:after="0" w:line="240" w:lineRule="auto"/>
        <w:ind w:left="1134" w:hanging="283"/>
        <w:jc w:val="both"/>
        <w:rPr>
          <w:rFonts w:ascii="Times New Roman" w:eastAsia="Times New Roman" w:hAnsi="Times New Roman" w:cs="Times New Roman"/>
          <w:sz w:val="24"/>
          <w:szCs w:val="20"/>
        </w:rPr>
      </w:pPr>
      <w:r>
        <w:rPr>
          <w:rFonts w:ascii="Times New Roman" w:hAnsi="Times New Roman"/>
          <w:sz w:val="24"/>
          <w:szCs w:val="20"/>
        </w:rPr>
        <w:t>Technical Specification of the subject of the order, warranty payment and delivery provisions that partially or significantly differ from the one requested in the Tender Regulations and the annex thereto, etc.</w:t>
      </w:r>
    </w:p>
    <w:p w14:paraId="153EB7CE"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Tenders that will be recognised as significantly non-compliant by the Procurement Commission shall be rejected.</w:t>
      </w:r>
    </w:p>
    <w:p w14:paraId="221E10D6"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Procurement Commission shall evaluate only such tenders of the qualified Tenderers which it has recognised as significantly compliant. Assessment of the tenders shall be conducted in accordance with the criteria specified in the Tender Regulations. Procurement Commission shall be entitled to accept or reject any deviation from the requirements of the Tender Regulations or any alternative offer, including the right of the Procurement Commission to divide the subject of the Order and accept a part of the Tenderer’s tender if it is economically feasible for the Commissioning Authority, and the Tenderer agrees.</w:t>
      </w:r>
    </w:p>
    <w:p w14:paraId="7678A1A7"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bookmarkStart w:id="11" w:name="_Ref422811873"/>
      <w:bookmarkStart w:id="12" w:name="_Ref443380732"/>
      <w:r>
        <w:rPr>
          <w:rFonts w:ascii="Times New Roman" w:hAnsi="Times New Roman"/>
          <w:sz w:val="24"/>
        </w:rPr>
        <w:t>Procurement Commission shall be entitled to request explanations on tenders submitted by the Tenderers, as well as additional information if it is necessary for evaluation of tenders, including requesting from a Tenderer a more detailed breakdown of separate items in the estimate.</w:t>
      </w:r>
      <w:bookmarkEnd w:id="11"/>
      <w:bookmarkEnd w:id="12"/>
      <w:r>
        <w:rPr>
          <w:rFonts w:ascii="Times New Roman" w:hAnsi="Times New Roman"/>
          <w:sz w:val="24"/>
        </w:rPr>
        <w:t xml:space="preserve"> Request for explanation and the received response shall be recorded in written form.</w:t>
      </w:r>
    </w:p>
    <w:p w14:paraId="0CDE818D"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When evaluating the tenders, the Procurement Commission shall take into consideration the following criteria:</w:t>
      </w:r>
    </w:p>
    <w:p w14:paraId="4F1CB7B1" w14:textId="77777777" w:rsidR="009A7C77" w:rsidRPr="00156496" w:rsidRDefault="009A7C77" w:rsidP="009A7C77">
      <w:pPr>
        <w:numPr>
          <w:ilvl w:val="0"/>
          <w:numId w:val="5"/>
        </w:numPr>
        <w:tabs>
          <w:tab w:val="num" w:pos="1134"/>
        </w:tabs>
        <w:spacing w:after="0" w:line="240" w:lineRule="auto"/>
        <w:ind w:left="1134" w:hanging="283"/>
        <w:jc w:val="both"/>
        <w:rPr>
          <w:rFonts w:ascii="Times New Roman" w:eastAsia="Calibri" w:hAnsi="Times New Roman" w:cs="Times New Roman"/>
          <w:sz w:val="24"/>
          <w:szCs w:val="24"/>
        </w:rPr>
      </w:pPr>
      <w:r>
        <w:rPr>
          <w:rFonts w:ascii="Times New Roman" w:hAnsi="Times New Roman"/>
          <w:sz w:val="24"/>
          <w:szCs w:val="24"/>
        </w:rPr>
        <w:t>The total price of the tender, considering all costs related to execution of the order;</w:t>
      </w:r>
    </w:p>
    <w:p w14:paraId="1BBFE75B" w14:textId="77777777" w:rsidR="009A7C77" w:rsidRPr="00156496" w:rsidRDefault="009A7C77" w:rsidP="009A7C77">
      <w:pPr>
        <w:numPr>
          <w:ilvl w:val="0"/>
          <w:numId w:val="5"/>
        </w:numPr>
        <w:tabs>
          <w:tab w:val="num" w:pos="1134"/>
        </w:tabs>
        <w:spacing w:after="0" w:line="240" w:lineRule="auto"/>
        <w:ind w:left="1134" w:hanging="283"/>
        <w:jc w:val="both"/>
        <w:rPr>
          <w:rFonts w:ascii="Times New Roman" w:eastAsia="Calibri" w:hAnsi="Times New Roman" w:cs="Times New Roman"/>
          <w:sz w:val="24"/>
          <w:szCs w:val="24"/>
        </w:rPr>
      </w:pPr>
      <w:r>
        <w:rPr>
          <w:rFonts w:ascii="Times New Roman" w:hAnsi="Times New Roman"/>
          <w:sz w:val="24"/>
          <w:szCs w:val="24"/>
        </w:rPr>
        <w:t xml:space="preserve">Delivery period of the subject of order; </w:t>
      </w:r>
    </w:p>
    <w:p w14:paraId="2C1B50AC" w14:textId="77777777" w:rsidR="009A7C77" w:rsidRPr="00156496" w:rsidRDefault="009A7C77" w:rsidP="009A7C77">
      <w:pPr>
        <w:numPr>
          <w:ilvl w:val="0"/>
          <w:numId w:val="5"/>
        </w:numPr>
        <w:tabs>
          <w:tab w:val="num" w:pos="1134"/>
        </w:tabs>
        <w:spacing w:after="0" w:line="240" w:lineRule="auto"/>
        <w:ind w:left="1134" w:hanging="283"/>
        <w:jc w:val="both"/>
        <w:rPr>
          <w:rFonts w:ascii="Times New Roman" w:eastAsia="Calibri" w:hAnsi="Times New Roman" w:cs="Times New Roman"/>
          <w:sz w:val="24"/>
          <w:szCs w:val="24"/>
        </w:rPr>
      </w:pPr>
      <w:r>
        <w:rPr>
          <w:rFonts w:ascii="Times New Roman" w:hAnsi="Times New Roman"/>
          <w:sz w:val="24"/>
          <w:szCs w:val="24"/>
        </w:rPr>
        <w:t>Technical parameters, equipment and functionality of the subject of order;</w:t>
      </w:r>
    </w:p>
    <w:p w14:paraId="2EF29C52" w14:textId="77777777" w:rsidR="009A7C77" w:rsidRPr="00385BFB" w:rsidRDefault="009A7C77" w:rsidP="009A7C77">
      <w:pPr>
        <w:numPr>
          <w:ilvl w:val="0"/>
          <w:numId w:val="5"/>
        </w:numPr>
        <w:tabs>
          <w:tab w:val="num" w:pos="1134"/>
        </w:tabs>
        <w:spacing w:after="0" w:line="240" w:lineRule="auto"/>
        <w:ind w:left="1134" w:hanging="283"/>
        <w:jc w:val="both"/>
        <w:rPr>
          <w:rFonts w:ascii="Times New Roman" w:eastAsia="Calibri" w:hAnsi="Times New Roman" w:cs="Times New Roman"/>
          <w:sz w:val="24"/>
          <w:szCs w:val="24"/>
        </w:rPr>
      </w:pPr>
      <w:r>
        <w:rPr>
          <w:rFonts w:ascii="Times New Roman" w:hAnsi="Times New Roman"/>
          <w:sz w:val="24"/>
          <w:szCs w:val="24"/>
        </w:rPr>
        <w:t xml:space="preserve">Warranty for the subject of order, after-sales service terms and options; </w:t>
      </w:r>
    </w:p>
    <w:p w14:paraId="2C63B45B" w14:textId="77777777" w:rsidR="009A7C77" w:rsidRPr="00156496" w:rsidRDefault="009A7C77" w:rsidP="009A7C77">
      <w:pPr>
        <w:numPr>
          <w:ilvl w:val="0"/>
          <w:numId w:val="5"/>
        </w:numPr>
        <w:tabs>
          <w:tab w:val="num" w:pos="1134"/>
        </w:tabs>
        <w:spacing w:after="0" w:line="240" w:lineRule="auto"/>
        <w:ind w:left="1134" w:hanging="283"/>
        <w:jc w:val="both"/>
        <w:rPr>
          <w:rFonts w:ascii="Times New Roman" w:eastAsia="Calibri" w:hAnsi="Times New Roman" w:cs="Times New Roman"/>
          <w:sz w:val="24"/>
          <w:szCs w:val="24"/>
        </w:rPr>
      </w:pPr>
      <w:r>
        <w:rPr>
          <w:rFonts w:ascii="Times New Roman" w:hAnsi="Times New Roman"/>
          <w:sz w:val="24"/>
          <w:szCs w:val="24"/>
        </w:rPr>
        <w:t>The Tenderer’s experience in execution of similar orders; quality of previously executed similar orders; experience of SIA “LatRosTrans”; and references from other customers.</w:t>
      </w:r>
      <w:r>
        <w:rPr>
          <w:rFonts w:ascii="Times New Roman" w:hAnsi="Times New Roman"/>
          <w:sz w:val="24"/>
          <w:szCs w:val="24"/>
        </w:rPr>
        <w:tab/>
      </w:r>
    </w:p>
    <w:p w14:paraId="080AD43D"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The procedures for application of criteria to evaluation, weighting thereof, as well as algorithm for calculating the interrelation of price and other criteria and the most advantageous tender shall be determined by the Procurement Commission in a closed meeting of the Procurement Commission before the meeting of opening the tenders. Evaluation of tenders shall take place in accordance with the weighting of the criteria determined in this meeting, amendment of which is not permitted during the process.</w:t>
      </w:r>
    </w:p>
    <w:p w14:paraId="227CDF16"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bookmarkStart w:id="13" w:name="_Ref422811316"/>
      <w:r>
        <w:rPr>
          <w:rFonts w:ascii="Times New Roman" w:hAnsi="Times New Roman"/>
          <w:sz w:val="24"/>
        </w:rPr>
        <w:t>Procurement Commission shall be entitled to reject all offers and to terminate the Tender if the tenders are not economically advantageous for the Commissioning Authority.</w:t>
      </w:r>
    </w:p>
    <w:p w14:paraId="2B8707F0"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If only one tender is submitted, the Procurement Commission shall be entitled to award the Order to the sole Tenderer if it decides that the Tenderer is qualified, the tender is significantly compliant with the requirements of the Tender Regulations, and it is economically advantageous.</w:t>
      </w:r>
    </w:p>
    <w:p w14:paraId="76485DD2" w14:textId="77777777" w:rsidR="009A7C77" w:rsidRPr="00247A4D"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 xml:space="preserve">The Tenderer whose tender shall be recognised by the Tender Commission as the most advantageous shall be invited to the negotiations for contract harmonisation by the Commissioning Authority. In case of successful negotiations for contract harmonisation, a contract on execution of the order shall be signed with the Tenderer. As a result of unsuccessful contractual negotiations, the Procurement Commission is entitled to reject the Tenderer’s tender that was recognised as the most advantageous and to invite to the contractual negotiations the submitter of the next most advantageous tender, or make a decision on termination of the Tender without awarding the order. During the process of contract harmonisation, the Commissioning Authority shall be entitled to offer that the Tenderer should reduce the total price of the tender. </w:t>
      </w:r>
    </w:p>
    <w:p w14:paraId="5144471C"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 xml:space="preserve">Prior to conclusion of the contract, the Commissioning Authority or the Procurement Commission do not undertake any obligations towards the Tenderer regardless of the decision of the Procurement Commission or the notice sent to the Tenderer. </w:t>
      </w:r>
    </w:p>
    <w:p w14:paraId="4368E6E5"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 xml:space="preserve">Procurement Commission shall be entitled to cancel the Tender, to terminate the Tender or to reject all tenders at any time before conclusion of the contract without undertaking obligations to compensate </w:t>
      </w:r>
      <w:r>
        <w:rPr>
          <w:rFonts w:ascii="Times New Roman" w:hAnsi="Times New Roman"/>
          <w:sz w:val="24"/>
        </w:rPr>
        <w:lastRenderedPageBreak/>
        <w:t>the expenses of losses related to participation of the Tenderers in the Tender. Procurement Commission shall not be obliged to recognise as the winner of the Tender a tenderer with the lowest offered price.</w:t>
      </w:r>
    </w:p>
    <w:p w14:paraId="2A6EC459"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A notice on rejection of the tender shall be sent to the Tenderers the tenders of which have been rejected after the contract has been concluded with the winner of the Tender.</w:t>
      </w:r>
    </w:p>
    <w:bookmarkEnd w:id="13"/>
    <w:p w14:paraId="766F460C" w14:textId="77777777" w:rsidR="009A7C77" w:rsidRDefault="009A7C77" w:rsidP="009A7C77">
      <w:pPr>
        <w:spacing w:after="0" w:line="240" w:lineRule="auto"/>
        <w:jc w:val="both"/>
        <w:rPr>
          <w:rFonts w:ascii="Times New Roman" w:eastAsia="Times New Roman" w:hAnsi="Times New Roman" w:cs="Times New Roman"/>
          <w:sz w:val="24"/>
          <w:szCs w:val="20"/>
        </w:rPr>
      </w:pPr>
    </w:p>
    <w:p w14:paraId="2D5E7081" w14:textId="77777777" w:rsidR="0087013E" w:rsidRDefault="0087013E" w:rsidP="009A7C77">
      <w:pPr>
        <w:spacing w:after="0" w:line="240" w:lineRule="auto"/>
        <w:jc w:val="both"/>
        <w:rPr>
          <w:rFonts w:ascii="Times New Roman" w:eastAsia="Times New Roman" w:hAnsi="Times New Roman" w:cs="Times New Roman"/>
          <w:sz w:val="24"/>
          <w:szCs w:val="20"/>
        </w:rPr>
      </w:pPr>
    </w:p>
    <w:p w14:paraId="1B0EC0A9" w14:textId="77777777" w:rsidR="0087013E" w:rsidRPr="00156496" w:rsidRDefault="0087013E" w:rsidP="009A7C77">
      <w:pPr>
        <w:spacing w:after="0" w:line="240" w:lineRule="auto"/>
        <w:jc w:val="both"/>
        <w:rPr>
          <w:rFonts w:ascii="Times New Roman" w:eastAsia="Times New Roman" w:hAnsi="Times New Roman" w:cs="Times New Roman"/>
          <w:sz w:val="24"/>
          <w:szCs w:val="20"/>
        </w:rPr>
      </w:pPr>
    </w:p>
    <w:p w14:paraId="25DF31A6" w14:textId="77777777" w:rsidR="009A7C77" w:rsidRPr="00156496" w:rsidRDefault="009A7C77" w:rsidP="009A7C77">
      <w:pPr>
        <w:numPr>
          <w:ilvl w:val="0"/>
          <w:numId w:val="7"/>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Signing of the Contract with the Winner of the Tender and the Main Provisions of the Contract.</w:t>
      </w:r>
    </w:p>
    <w:p w14:paraId="7E80675F"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1F0A9EF3"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 xml:space="preserve">The winner of the Tender shall arrive for signing of the contract with the Commissioning Authority within the period specified in the notice received from the Commissioning Authority. </w:t>
      </w:r>
    </w:p>
    <w:p w14:paraId="7580986E" w14:textId="77777777" w:rsidR="009A7C77" w:rsidRPr="00156496" w:rsidRDefault="009A7C77"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If the winner of the Tender does not arrive within the set period or refuses to sign the Contract, the Procurement Commission shall be entitled to cancel the decision on the winner of the Tender and reject the tender. In this case, the Procurement Commission shall be entitled to recognise as the winner of the Tender a tenderer which has submitted the next most advantageous tender, or make a decision on termination of the Tender without awarding the order.</w:t>
      </w:r>
    </w:p>
    <w:p w14:paraId="6164B117" w14:textId="77777777" w:rsidR="009A7C77" w:rsidRPr="00156496" w:rsidRDefault="00EF3649" w:rsidP="009A7C77">
      <w:pPr>
        <w:numPr>
          <w:ilvl w:val="1"/>
          <w:numId w:val="7"/>
        </w:numPr>
        <w:spacing w:after="0" w:line="240" w:lineRule="auto"/>
        <w:jc w:val="both"/>
        <w:rPr>
          <w:rFonts w:ascii="Times New Roman" w:eastAsia="Calibri" w:hAnsi="Times New Roman" w:cs="Times New Roman"/>
          <w:sz w:val="24"/>
        </w:rPr>
      </w:pPr>
      <w:r>
        <w:rPr>
          <w:rFonts w:ascii="Times New Roman" w:hAnsi="Times New Roman"/>
          <w:sz w:val="24"/>
        </w:rPr>
        <w:t>The significant provisions of the contract that shall be included in the contract to be signed with the winner of the Tender:</w:t>
      </w:r>
    </w:p>
    <w:p w14:paraId="6EEAA661" w14:textId="77777777" w:rsidR="00EF3649" w:rsidRDefault="007567CC" w:rsidP="009A7C77">
      <w:pPr>
        <w:numPr>
          <w:ilvl w:val="2"/>
          <w:numId w:val="7"/>
        </w:numPr>
        <w:spacing w:after="0" w:line="240" w:lineRule="auto"/>
        <w:jc w:val="both"/>
        <w:rPr>
          <w:rFonts w:ascii="Times New Roman" w:eastAsia="Calibri" w:hAnsi="Times New Roman" w:cs="Times New Roman"/>
          <w:sz w:val="24"/>
        </w:rPr>
      </w:pPr>
      <w:r>
        <w:rPr>
          <w:rFonts w:ascii="Times New Roman" w:hAnsi="Times New Roman"/>
          <w:sz w:val="24"/>
        </w:rPr>
        <w:t>Subject of the contract: in accordance with the Tenderer’s tender, on condition that no other agreement has been made between the Commissioning Authority and the Tenderer;</w:t>
      </w:r>
    </w:p>
    <w:p w14:paraId="3AFDCE13" w14:textId="77777777" w:rsidR="007567CC" w:rsidRDefault="007567CC" w:rsidP="007567CC">
      <w:pPr>
        <w:numPr>
          <w:ilvl w:val="2"/>
          <w:numId w:val="7"/>
        </w:numPr>
        <w:spacing w:after="0" w:line="240" w:lineRule="auto"/>
        <w:jc w:val="both"/>
        <w:rPr>
          <w:rFonts w:ascii="Times New Roman" w:eastAsia="Calibri" w:hAnsi="Times New Roman" w:cs="Times New Roman"/>
          <w:sz w:val="24"/>
        </w:rPr>
      </w:pPr>
      <w:r>
        <w:rPr>
          <w:rFonts w:ascii="Times New Roman" w:hAnsi="Times New Roman"/>
          <w:sz w:val="24"/>
        </w:rPr>
        <w:t>Contract Price: in accordance with the Tenderer’s tender, on condition that no other agreement has been made between the Commissioning Authority and the Tenderer;</w:t>
      </w:r>
    </w:p>
    <w:p w14:paraId="35D78C0A" w14:textId="79113ED9" w:rsidR="009A7C77" w:rsidRPr="00156496" w:rsidRDefault="007567CC" w:rsidP="009A7C77">
      <w:pPr>
        <w:numPr>
          <w:ilvl w:val="2"/>
          <w:numId w:val="7"/>
        </w:numPr>
        <w:spacing w:after="0" w:line="240" w:lineRule="auto"/>
        <w:jc w:val="both"/>
        <w:rPr>
          <w:rFonts w:ascii="Times New Roman" w:eastAsia="Calibri" w:hAnsi="Times New Roman" w:cs="Times New Roman"/>
          <w:sz w:val="24"/>
        </w:rPr>
      </w:pPr>
      <w:r>
        <w:rPr>
          <w:rFonts w:ascii="Times New Roman" w:hAnsi="Times New Roman"/>
          <w:sz w:val="24"/>
        </w:rPr>
        <w:t>The Tenderer may receive an advance payment up to 30% of the offered price, and an interim payment (after importation of the chassis of the lorry trailer into Latvia) in the amount of 30% of the offered price. Payment of advance and interim payment invoices shall be made within 30 (thirty) calendar days after submission of the respective advance and interim payment invoices;</w:t>
      </w:r>
    </w:p>
    <w:p w14:paraId="29242D02" w14:textId="07C3C76B" w:rsidR="009A7C77" w:rsidRPr="00156496" w:rsidRDefault="007567CC" w:rsidP="009A7C77">
      <w:pPr>
        <w:numPr>
          <w:ilvl w:val="2"/>
          <w:numId w:val="7"/>
        </w:numPr>
        <w:spacing w:after="0" w:line="240" w:lineRule="auto"/>
        <w:jc w:val="both"/>
        <w:rPr>
          <w:rFonts w:ascii="Times New Roman" w:eastAsia="Calibri" w:hAnsi="Times New Roman" w:cs="Times New Roman"/>
          <w:sz w:val="24"/>
        </w:rPr>
      </w:pPr>
      <w:r>
        <w:rPr>
          <w:rFonts w:ascii="Times New Roman" w:hAnsi="Times New Roman"/>
          <w:sz w:val="24"/>
        </w:rPr>
        <w:t>The final settlement shall be made by the Commissioning Authority within 30 (thirty) calendar days after execution of the Order and receipt of respective invoice;</w:t>
      </w:r>
    </w:p>
    <w:p w14:paraId="6BDF633E" w14:textId="77777777" w:rsidR="009A7C77" w:rsidRDefault="009A7C77" w:rsidP="009A7C77">
      <w:pPr>
        <w:numPr>
          <w:ilvl w:val="2"/>
          <w:numId w:val="7"/>
        </w:numPr>
        <w:spacing w:after="0" w:line="240" w:lineRule="auto"/>
        <w:jc w:val="both"/>
        <w:rPr>
          <w:rFonts w:ascii="Times New Roman" w:eastAsia="Calibri" w:hAnsi="Times New Roman" w:cs="Times New Roman"/>
          <w:sz w:val="24"/>
        </w:rPr>
      </w:pPr>
      <w:r>
        <w:rPr>
          <w:rFonts w:ascii="Times New Roman" w:hAnsi="Times New Roman"/>
          <w:sz w:val="24"/>
        </w:rPr>
        <w:t xml:space="preserve">The Tenderer agrees that invoices on payments specified in the contract shall be prepared electronically and shall be valid without a signature of the responsible persons. Electronically prepared invoice shall be sent by the Tenderer to the following e-mail address of the Commissioning Authority: </w:t>
      </w:r>
      <w:hyperlink r:id="rId11" w:history="1">
        <w:r>
          <w:rPr>
            <w:rFonts w:ascii="Times New Roman" w:hAnsi="Times New Roman"/>
            <w:color w:val="0000FF"/>
            <w:sz w:val="24"/>
            <w:u w:val="single"/>
          </w:rPr>
          <w:t>rekini@latrostrans.lv</w:t>
        </w:r>
      </w:hyperlink>
      <w:r>
        <w:rPr>
          <w:rFonts w:ascii="Times New Roman" w:hAnsi="Times New Roman"/>
          <w:sz w:val="24"/>
        </w:rPr>
        <w:t>;</w:t>
      </w:r>
    </w:p>
    <w:p w14:paraId="73EF203B" w14:textId="77777777" w:rsidR="007567CC" w:rsidRPr="004146F8" w:rsidRDefault="007567CC" w:rsidP="007567CC">
      <w:pPr>
        <w:numPr>
          <w:ilvl w:val="2"/>
          <w:numId w:val="7"/>
        </w:numPr>
        <w:spacing w:after="0" w:line="240" w:lineRule="auto"/>
        <w:jc w:val="both"/>
        <w:rPr>
          <w:rFonts w:ascii="Times New Roman" w:hAnsi="Times New Roman"/>
          <w:sz w:val="24"/>
          <w:szCs w:val="24"/>
        </w:rPr>
      </w:pPr>
      <w:r>
        <w:rPr>
          <w:rFonts w:ascii="Times New Roman" w:hAnsi="Times New Roman"/>
          <w:sz w:val="24"/>
          <w:szCs w:val="24"/>
        </w:rPr>
        <w:t>All disputes and disagreements arising between the Parties in relation to performance of the contract shall be settled by the Parties by the way of negotiations. If the agreement cannot be made, any dispute, disagreement or claim arising from the contract, in relation thereto or in relation to violation, termination or invalidity of the contract shall be finally settled by the Arbitration Court of the Latvian Chamber of Commerce and Industry (reg. No. 40003763593), in accordance with the regulations of the Arbitration Court, consisting of three arbitrators.</w:t>
      </w:r>
    </w:p>
    <w:p w14:paraId="37B4680D" w14:textId="77777777" w:rsidR="007567CC" w:rsidRDefault="007567CC" w:rsidP="007567CC">
      <w:pPr>
        <w:spacing w:after="0" w:line="240" w:lineRule="auto"/>
        <w:ind w:left="735"/>
        <w:jc w:val="both"/>
        <w:rPr>
          <w:rFonts w:ascii="Times New Roman" w:eastAsia="Calibri" w:hAnsi="Times New Roman" w:cs="Times New Roman"/>
          <w:sz w:val="24"/>
        </w:rPr>
      </w:pPr>
    </w:p>
    <w:p w14:paraId="1F0894DD" w14:textId="77777777" w:rsidR="009A7C77" w:rsidRPr="00156496" w:rsidRDefault="009A7C77" w:rsidP="009A7C77">
      <w:pPr>
        <w:spacing w:after="200" w:line="276" w:lineRule="auto"/>
        <w:ind w:left="397"/>
        <w:jc w:val="both"/>
        <w:rPr>
          <w:rFonts w:ascii="Times New Roman" w:eastAsia="Calibri" w:hAnsi="Times New Roman" w:cs="Times New Roman"/>
          <w:sz w:val="20"/>
          <w:szCs w:val="20"/>
        </w:rPr>
      </w:pPr>
    </w:p>
    <w:p w14:paraId="2743A978" w14:textId="77777777" w:rsidR="009A7C77" w:rsidRPr="00156496" w:rsidRDefault="009A7C77" w:rsidP="009A7C77">
      <w:pPr>
        <w:numPr>
          <w:ilvl w:val="0"/>
          <w:numId w:val="7"/>
        </w:numPr>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Final Provisions</w:t>
      </w:r>
    </w:p>
    <w:p w14:paraId="69C9297F" w14:textId="77777777" w:rsidR="009A7C77" w:rsidRPr="00156496" w:rsidRDefault="009A7C77" w:rsidP="009A7C77">
      <w:pPr>
        <w:spacing w:after="0" w:line="240" w:lineRule="auto"/>
        <w:jc w:val="center"/>
        <w:rPr>
          <w:rFonts w:ascii="Times New Roman" w:eastAsia="Times New Roman" w:hAnsi="Times New Roman" w:cs="Times New Roman"/>
          <w:b/>
          <w:sz w:val="24"/>
          <w:szCs w:val="20"/>
        </w:rPr>
      </w:pPr>
    </w:p>
    <w:p w14:paraId="6549E339"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All tenders received within the process of the Tender shall be the property of the Commissioning Authority and shall not be returned to the Tenderers.</w:t>
      </w:r>
    </w:p>
    <w:p w14:paraId="5E9EE5BC"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 xml:space="preserve">Procurement Commission shall be entitled to use the received tenders without prior consent of the Tenderer only for determination of the outcome of the Tender. </w:t>
      </w:r>
    </w:p>
    <w:p w14:paraId="10E049F2" w14:textId="77777777" w:rsidR="009A7C77" w:rsidRPr="00156496" w:rsidRDefault="009A7C77" w:rsidP="009A7C77">
      <w:pPr>
        <w:numPr>
          <w:ilvl w:val="1"/>
          <w:numId w:val="7"/>
        </w:num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The Commissioning Authority shall not disclose the content of the tenders to the third parties without a prior written consent of the Tenderer, and the Commissioning Authority shall not provide reasons concerning the decision made in the Tender in relation to Tenderers.</w:t>
      </w:r>
    </w:p>
    <w:p w14:paraId="07818AEE" w14:textId="77777777" w:rsidR="009A7C77" w:rsidRDefault="009A7C77" w:rsidP="009A7C77">
      <w:pPr>
        <w:numPr>
          <w:ilvl w:val="1"/>
          <w:numId w:val="7"/>
        </w:numPr>
        <w:tabs>
          <w:tab w:val="num" w:pos="426"/>
          <w:tab w:val="num" w:pos="709"/>
        </w:tabs>
        <w:spacing w:after="0" w:line="240" w:lineRule="auto"/>
        <w:jc w:val="both"/>
        <w:rPr>
          <w:rFonts w:ascii="Times New Roman" w:eastAsia="Calibri" w:hAnsi="Times New Roman" w:cs="Times New Roman"/>
          <w:sz w:val="24"/>
          <w:szCs w:val="24"/>
        </w:rPr>
      </w:pPr>
      <w:r>
        <w:rPr>
          <w:rFonts w:ascii="Times New Roman" w:hAnsi="Times New Roman"/>
          <w:sz w:val="24"/>
          <w:szCs w:val="24"/>
        </w:rPr>
        <w:t>The Tenderer undertakes not to disclose to the third parties the information specified in the Tender Regulations, Technical Assignment which is the business secret of the Commissioning Authority, as well as any other information which becomes available to the Tenderer or becomes known in relation to this Tender.</w:t>
      </w:r>
    </w:p>
    <w:p w14:paraId="0FBB80EA" w14:textId="77777777" w:rsidR="007567CC" w:rsidRDefault="007567CC" w:rsidP="007567CC">
      <w:pPr>
        <w:tabs>
          <w:tab w:val="num" w:pos="426"/>
          <w:tab w:val="num" w:pos="709"/>
        </w:tabs>
        <w:spacing w:after="0" w:line="240" w:lineRule="auto"/>
        <w:ind w:left="397"/>
        <w:jc w:val="both"/>
        <w:rPr>
          <w:rFonts w:ascii="Times New Roman" w:eastAsia="Calibri" w:hAnsi="Times New Roman" w:cs="Times New Roman"/>
          <w:sz w:val="24"/>
          <w:szCs w:val="24"/>
        </w:rPr>
      </w:pPr>
    </w:p>
    <w:p w14:paraId="274D4A2E" w14:textId="77777777" w:rsidR="007567CC" w:rsidRDefault="007567CC" w:rsidP="007567CC">
      <w:pPr>
        <w:pStyle w:val="ListParagraph"/>
        <w:numPr>
          <w:ilvl w:val="0"/>
          <w:numId w:val="7"/>
        </w:numPr>
        <w:tabs>
          <w:tab w:val="num" w:pos="426"/>
          <w:tab w:val="num" w:pos="709"/>
        </w:tabs>
        <w:spacing w:after="0" w:line="240" w:lineRule="auto"/>
        <w:jc w:val="center"/>
        <w:rPr>
          <w:rFonts w:ascii="Times New Roman" w:eastAsia="Calibri" w:hAnsi="Times New Roman" w:cs="Times New Roman"/>
          <w:b/>
          <w:sz w:val="24"/>
          <w:szCs w:val="24"/>
        </w:rPr>
      </w:pPr>
      <w:r>
        <w:rPr>
          <w:rFonts w:ascii="Times New Roman" w:hAnsi="Times New Roman"/>
          <w:b/>
          <w:sz w:val="24"/>
          <w:szCs w:val="24"/>
        </w:rPr>
        <w:lastRenderedPageBreak/>
        <w:t>Annexes</w:t>
      </w:r>
    </w:p>
    <w:p w14:paraId="5B2390E3" w14:textId="77777777" w:rsidR="007567CC" w:rsidRDefault="007567CC" w:rsidP="007567CC">
      <w:pPr>
        <w:pStyle w:val="ListParagraph"/>
        <w:tabs>
          <w:tab w:val="num" w:pos="426"/>
          <w:tab w:val="num" w:pos="709"/>
        </w:tabs>
        <w:spacing w:after="0" w:line="240" w:lineRule="auto"/>
        <w:ind w:left="360"/>
        <w:rPr>
          <w:rFonts w:ascii="Times New Roman" w:eastAsia="Calibri" w:hAnsi="Times New Roman" w:cs="Times New Roman"/>
          <w:b/>
          <w:sz w:val="24"/>
          <w:szCs w:val="24"/>
        </w:rPr>
      </w:pPr>
    </w:p>
    <w:p w14:paraId="7E7A4DEC" w14:textId="77777777" w:rsidR="007567CC" w:rsidRPr="002D294E" w:rsidRDefault="007567CC" w:rsidP="007567CC">
      <w:pPr>
        <w:pStyle w:val="ListParagraph"/>
        <w:tabs>
          <w:tab w:val="num" w:pos="426"/>
          <w:tab w:val="num" w:pos="709"/>
        </w:tabs>
        <w:spacing w:after="0" w:line="240" w:lineRule="auto"/>
        <w:ind w:left="360"/>
        <w:rPr>
          <w:rFonts w:ascii="Times New Roman" w:eastAsia="Calibri" w:hAnsi="Times New Roman" w:cs="Times New Roman"/>
          <w:sz w:val="24"/>
          <w:szCs w:val="24"/>
        </w:rPr>
      </w:pPr>
      <w:r>
        <w:rPr>
          <w:rFonts w:ascii="Times New Roman" w:hAnsi="Times New Roman"/>
          <w:sz w:val="24"/>
          <w:szCs w:val="24"/>
        </w:rPr>
        <w:t>Annex No. 1 – Technical Specification</w:t>
      </w:r>
    </w:p>
    <w:p w14:paraId="04D348B2" w14:textId="77777777" w:rsidR="009A7C77" w:rsidRDefault="009A7C77" w:rsidP="0087013E">
      <w:pPr>
        <w:tabs>
          <w:tab w:val="num" w:pos="426"/>
          <w:tab w:val="num" w:pos="709"/>
        </w:tabs>
        <w:spacing w:after="0" w:line="240" w:lineRule="auto"/>
        <w:jc w:val="both"/>
        <w:rPr>
          <w:rFonts w:ascii="Times New Roman" w:eastAsia="Calibri" w:hAnsi="Times New Roman" w:cs="Times New Roman"/>
          <w:sz w:val="24"/>
          <w:szCs w:val="24"/>
        </w:rPr>
      </w:pPr>
    </w:p>
    <w:sectPr w:rsidR="009A7C77">
      <w:footerReference w:type="even" r:id="rId12"/>
      <w:footerReference w:type="default" r:id="rId13"/>
      <w:pgSz w:w="11896" w:h="16834" w:code="9"/>
      <w:pgMar w:top="851" w:right="556" w:bottom="851" w:left="851" w:header="720" w:footer="567"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456B" w14:textId="77777777" w:rsidR="00BE0430" w:rsidRDefault="00BA4F66">
      <w:pPr>
        <w:spacing w:after="0" w:line="240" w:lineRule="auto"/>
      </w:pPr>
      <w:r>
        <w:separator/>
      </w:r>
    </w:p>
  </w:endnote>
  <w:endnote w:type="continuationSeparator" w:id="0">
    <w:p w14:paraId="2F7E6625" w14:textId="77777777" w:rsidR="00BE0430" w:rsidRDefault="00BA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66F7" w14:textId="77777777" w:rsidR="00784976" w:rsidRDefault="00926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B1EFBE8" w14:textId="77777777" w:rsidR="00784976" w:rsidRDefault="00947B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78AB" w14:textId="77777777" w:rsidR="00784976" w:rsidRDefault="00926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B57">
      <w:rPr>
        <w:rStyle w:val="PageNumber"/>
        <w:noProof/>
      </w:rPr>
      <w:t>2</w:t>
    </w:r>
    <w:r>
      <w:rPr>
        <w:rStyle w:val="PageNumber"/>
      </w:rPr>
      <w:fldChar w:fldCharType="end"/>
    </w:r>
  </w:p>
  <w:p w14:paraId="562431A7" w14:textId="77777777" w:rsidR="00784976" w:rsidRDefault="00947B57">
    <w:pPr>
      <w:pStyle w:val="Footer"/>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7FA84" w14:textId="77777777" w:rsidR="00BE0430" w:rsidRDefault="00BA4F66">
      <w:pPr>
        <w:spacing w:after="0" w:line="240" w:lineRule="auto"/>
      </w:pPr>
      <w:r>
        <w:separator/>
      </w:r>
    </w:p>
  </w:footnote>
  <w:footnote w:type="continuationSeparator" w:id="0">
    <w:p w14:paraId="499D0C95" w14:textId="77777777" w:rsidR="00BE0430" w:rsidRDefault="00BA4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BC0"/>
    <w:multiLevelType w:val="multilevel"/>
    <w:tmpl w:val="C730397E"/>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166784"/>
    <w:multiLevelType w:val="singleLevel"/>
    <w:tmpl w:val="DB9A3442"/>
    <w:lvl w:ilvl="0">
      <w:start w:val="1"/>
      <w:numFmt w:val="lowerLetter"/>
      <w:lvlText w:val="(%1)"/>
      <w:lvlJc w:val="left"/>
      <w:pPr>
        <w:tabs>
          <w:tab w:val="num" w:pos="757"/>
        </w:tabs>
        <w:ind w:left="757" w:hanging="360"/>
      </w:pPr>
      <w:rPr>
        <w:rFonts w:hint="default"/>
      </w:rPr>
    </w:lvl>
  </w:abstractNum>
  <w:abstractNum w:abstractNumId="2">
    <w:nsid w:val="114D7B69"/>
    <w:multiLevelType w:val="multilevel"/>
    <w:tmpl w:val="9D1240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23A31C1"/>
    <w:multiLevelType w:val="singleLevel"/>
    <w:tmpl w:val="04260017"/>
    <w:lvl w:ilvl="0">
      <w:start w:val="1"/>
      <w:numFmt w:val="lowerLetter"/>
      <w:lvlText w:val="%1)"/>
      <w:lvlJc w:val="left"/>
      <w:pPr>
        <w:ind w:left="720" w:hanging="360"/>
      </w:pPr>
      <w:rPr>
        <w:rFonts w:hint="default"/>
      </w:rPr>
    </w:lvl>
  </w:abstractNum>
  <w:abstractNum w:abstractNumId="4">
    <w:nsid w:val="24440EE7"/>
    <w:multiLevelType w:val="hybridMultilevel"/>
    <w:tmpl w:val="7DB619F2"/>
    <w:lvl w:ilvl="0" w:tplc="FFFFFFFF">
      <w:start w:val="1"/>
      <w:numFmt w:val="lowerLetter"/>
      <w:lvlText w:val="%1)"/>
      <w:lvlJc w:val="left"/>
      <w:pPr>
        <w:tabs>
          <w:tab w:val="num" w:pos="1495"/>
        </w:tabs>
        <w:ind w:left="1495" w:hanging="360"/>
      </w:pPr>
      <w:rPr>
        <w:rFonts w:hint="default"/>
      </w:rPr>
    </w:lvl>
    <w:lvl w:ilvl="1" w:tplc="FFFFFFFF" w:tentative="1">
      <w:start w:val="1"/>
      <w:numFmt w:val="lowerLetter"/>
      <w:lvlText w:val="%2."/>
      <w:lvlJc w:val="left"/>
      <w:pPr>
        <w:tabs>
          <w:tab w:val="num" w:pos="1477"/>
        </w:tabs>
        <w:ind w:left="1477" w:hanging="360"/>
      </w:pPr>
    </w:lvl>
    <w:lvl w:ilvl="2" w:tplc="FFFFFFFF" w:tentative="1">
      <w:start w:val="1"/>
      <w:numFmt w:val="lowerRoman"/>
      <w:lvlText w:val="%3."/>
      <w:lvlJc w:val="right"/>
      <w:pPr>
        <w:tabs>
          <w:tab w:val="num" w:pos="2197"/>
        </w:tabs>
        <w:ind w:left="2197" w:hanging="180"/>
      </w:p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abstractNum w:abstractNumId="5">
    <w:nsid w:val="39CA2D16"/>
    <w:multiLevelType w:val="multilevel"/>
    <w:tmpl w:val="A490992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2EC5C05"/>
    <w:multiLevelType w:val="multilevel"/>
    <w:tmpl w:val="3EEEA23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3DD1196"/>
    <w:multiLevelType w:val="multilevel"/>
    <w:tmpl w:val="A204E22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946543"/>
    <w:multiLevelType w:val="hybridMultilevel"/>
    <w:tmpl w:val="E38647F4"/>
    <w:lvl w:ilvl="0" w:tplc="DB9A3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CD5D5C"/>
    <w:multiLevelType w:val="hybridMultilevel"/>
    <w:tmpl w:val="1646E3B4"/>
    <w:lvl w:ilvl="0" w:tplc="04260017">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9"/>
  </w:num>
  <w:num w:numId="5">
    <w:abstractNumId w:val="4"/>
  </w:num>
  <w:num w:numId="6">
    <w:abstractNumId w:val="6"/>
  </w:num>
  <w:num w:numId="7">
    <w:abstractNumId w:val="7"/>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77"/>
    <w:rsid w:val="00053113"/>
    <w:rsid w:val="000C5AA1"/>
    <w:rsid w:val="00127C24"/>
    <w:rsid w:val="00140051"/>
    <w:rsid w:val="00150616"/>
    <w:rsid w:val="002613E0"/>
    <w:rsid w:val="002D294E"/>
    <w:rsid w:val="00377AD7"/>
    <w:rsid w:val="004535D5"/>
    <w:rsid w:val="00642FF9"/>
    <w:rsid w:val="006C5736"/>
    <w:rsid w:val="00717518"/>
    <w:rsid w:val="007567CC"/>
    <w:rsid w:val="0087013E"/>
    <w:rsid w:val="008876B9"/>
    <w:rsid w:val="009263CA"/>
    <w:rsid w:val="00947B57"/>
    <w:rsid w:val="009A7C77"/>
    <w:rsid w:val="00B915BA"/>
    <w:rsid w:val="00BA4F66"/>
    <w:rsid w:val="00BD3863"/>
    <w:rsid w:val="00BE0430"/>
    <w:rsid w:val="00CB36B8"/>
    <w:rsid w:val="00CC1CE1"/>
    <w:rsid w:val="00DB6D14"/>
    <w:rsid w:val="00DE3196"/>
    <w:rsid w:val="00EF3649"/>
    <w:rsid w:val="00F34585"/>
    <w:rsid w:val="00FE28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A7C7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A7C77"/>
  </w:style>
  <w:style w:type="character" w:styleId="PageNumber">
    <w:name w:val="page number"/>
    <w:semiHidden/>
    <w:rsid w:val="009A7C77"/>
  </w:style>
  <w:style w:type="character" w:styleId="Hyperlink">
    <w:name w:val="Hyperlink"/>
    <w:basedOn w:val="DefaultParagraphFont"/>
    <w:uiPriority w:val="99"/>
    <w:unhideWhenUsed/>
    <w:rsid w:val="009A7C77"/>
    <w:rPr>
      <w:color w:val="0563C1" w:themeColor="hyperlink"/>
      <w:u w:val="single"/>
    </w:rPr>
  </w:style>
  <w:style w:type="paragraph" w:styleId="ListParagraph">
    <w:name w:val="List Paragraph"/>
    <w:basedOn w:val="Normal"/>
    <w:uiPriority w:val="34"/>
    <w:qFormat/>
    <w:rsid w:val="009A7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A7C7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A7C77"/>
  </w:style>
  <w:style w:type="character" w:styleId="PageNumber">
    <w:name w:val="page number"/>
    <w:semiHidden/>
    <w:rsid w:val="009A7C77"/>
  </w:style>
  <w:style w:type="character" w:styleId="Hyperlink">
    <w:name w:val="Hyperlink"/>
    <w:basedOn w:val="DefaultParagraphFont"/>
    <w:uiPriority w:val="99"/>
    <w:unhideWhenUsed/>
    <w:rsid w:val="009A7C77"/>
    <w:rPr>
      <w:color w:val="0563C1" w:themeColor="hyperlink"/>
      <w:u w:val="single"/>
    </w:rPr>
  </w:style>
  <w:style w:type="paragraph" w:styleId="ListParagraph">
    <w:name w:val="List Paragraph"/>
    <w:basedOn w:val="Normal"/>
    <w:uiPriority w:val="34"/>
    <w:qFormat/>
    <w:rsid w:val="009A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kini@latrostran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6.vid.gov.lv/VID_PDB/NPAR/" TargetMode="External"/><Relationship Id="rId4" Type="http://schemas.microsoft.com/office/2007/relationships/stylesWithEffects" Target="stylesWithEffects.xml"/><Relationship Id="rId9" Type="http://schemas.openxmlformats.org/officeDocument/2006/relationships/hyperlink" Target="mailto:iepirkumi@latrostran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D127D-7285-4A13-94F9-D05279F5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2987</Words>
  <Characters>17028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Oskars Plotka</dc:creator>
  <cp:lastModifiedBy>Ilga Malnača</cp:lastModifiedBy>
  <cp:revision>2</cp:revision>
  <dcterms:created xsi:type="dcterms:W3CDTF">2020-02-20T09:40:00Z</dcterms:created>
  <dcterms:modified xsi:type="dcterms:W3CDTF">2020-02-20T09:40:00Z</dcterms:modified>
</cp:coreProperties>
</file>