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7FF8" w14:textId="59E2EF13" w:rsidR="00FB4DCE" w:rsidRPr="003468F7" w:rsidRDefault="000C7191" w:rsidP="005008FA">
      <w:pPr>
        <w:pStyle w:val="BodyText"/>
        <w:rPr>
          <w:szCs w:val="24"/>
          <w:lang w:val="lv-LV"/>
        </w:rPr>
      </w:pPr>
      <w:r>
        <w:rPr>
          <w:szCs w:val="24"/>
          <w:lang w:val="lv-LV"/>
        </w:rPr>
        <w:t>Pielikums Nr.2</w:t>
      </w:r>
    </w:p>
    <w:p w14:paraId="76724A4C" w14:textId="77777777" w:rsidR="00FB4DCE" w:rsidRPr="00FF6095" w:rsidRDefault="00FB4DCE" w:rsidP="00FB4DCE">
      <w:pPr>
        <w:pStyle w:val="BodyText"/>
        <w:jc w:val="left"/>
        <w:rPr>
          <w:sz w:val="28"/>
          <w:lang w:val="lv-LV"/>
        </w:rPr>
      </w:pPr>
    </w:p>
    <w:p w14:paraId="0E105F22" w14:textId="61130697" w:rsidR="005008FA" w:rsidRDefault="00471DE9" w:rsidP="00FB4DCE">
      <w:pPr>
        <w:spacing w:line="360" w:lineRule="auto"/>
        <w:jc w:val="center"/>
        <w:rPr>
          <w:rFonts w:eastAsia="Times New Roman" w:cs="Times New Roman"/>
          <w:b/>
          <w:bCs/>
          <w:sz w:val="24"/>
          <w:szCs w:val="24"/>
          <w:lang w:val="lv-LV"/>
        </w:rPr>
      </w:pPr>
      <w:r>
        <w:rPr>
          <w:rFonts w:eastAsia="Times New Roman" w:cs="Times New Roman"/>
          <w:b/>
          <w:bCs/>
          <w:sz w:val="24"/>
          <w:szCs w:val="24"/>
          <w:lang w:val="lv-LV"/>
        </w:rPr>
        <w:t>TEHNISKAIS UZDEVUMS</w:t>
      </w:r>
    </w:p>
    <w:p w14:paraId="0197C117" w14:textId="77777777" w:rsidR="008B5A0D" w:rsidRDefault="008B5A0D" w:rsidP="008B5A0D">
      <w:pPr>
        <w:spacing w:line="240" w:lineRule="auto"/>
        <w:jc w:val="center"/>
        <w:rPr>
          <w:rFonts w:cs="Times New Roman"/>
          <w:sz w:val="24"/>
          <w:szCs w:val="24"/>
          <w:lang w:val="lv-LV"/>
        </w:rPr>
      </w:pPr>
      <w:r>
        <w:rPr>
          <w:rFonts w:cs="Times New Roman"/>
          <w:b/>
          <w:sz w:val="24"/>
          <w:szCs w:val="24"/>
          <w:lang w:val="lv-LV"/>
        </w:rPr>
        <w:t>Maģistrālā naftas produktu cauruļvada „Polocka-Ventspils” 326. km šķērsojuma ar Valsts nozīmes ūdensnotekas Skursteņu strauts posma atjaunošana</w:t>
      </w:r>
    </w:p>
    <w:p w14:paraId="22CCDFBD" w14:textId="77777777" w:rsidR="00B73205" w:rsidRDefault="00486EEB" w:rsidP="00E8205D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b/>
          <w:sz w:val="24"/>
          <w:szCs w:val="24"/>
          <w:lang w:val="lv-LV"/>
        </w:rPr>
      </w:pPr>
      <w:r>
        <w:rPr>
          <w:rFonts w:cs="Times New Roman"/>
          <w:b/>
          <w:sz w:val="24"/>
          <w:szCs w:val="24"/>
          <w:lang w:val="lv-LV"/>
        </w:rPr>
        <w:t>Darba</w:t>
      </w:r>
      <w:r w:rsidR="002B5150" w:rsidRPr="002B5150">
        <w:rPr>
          <w:rFonts w:cs="Times New Roman"/>
          <w:b/>
          <w:sz w:val="24"/>
          <w:szCs w:val="24"/>
          <w:lang w:val="lv-LV"/>
        </w:rPr>
        <w:t xml:space="preserve"> mērķis</w:t>
      </w:r>
      <w:r w:rsidR="002B5150">
        <w:rPr>
          <w:rFonts w:cs="Times New Roman"/>
          <w:b/>
          <w:sz w:val="24"/>
          <w:szCs w:val="24"/>
          <w:lang w:val="lv-LV"/>
        </w:rPr>
        <w:t>:</w:t>
      </w:r>
    </w:p>
    <w:p w14:paraId="16720444" w14:textId="7E0B7992" w:rsidR="008B5A0D" w:rsidRDefault="008B5A0D" w:rsidP="008B5A0D">
      <w:pPr>
        <w:pStyle w:val="ListParagraph"/>
        <w:numPr>
          <w:ilvl w:val="1"/>
          <w:numId w:val="2"/>
        </w:numPr>
        <w:spacing w:before="40" w:line="276" w:lineRule="auto"/>
        <w:ind w:left="788" w:hanging="431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Veikt maģistrālā naftas produktu cauruļvada (MNPC) </w:t>
      </w:r>
      <w:r w:rsidRPr="007B5F12">
        <w:rPr>
          <w:rFonts w:cs="Times New Roman"/>
          <w:sz w:val="24"/>
          <w:szCs w:val="24"/>
          <w:lang w:val="lv-LV"/>
        </w:rPr>
        <w:t xml:space="preserve">„Polocka-Ventspils” </w:t>
      </w:r>
      <w:r w:rsidR="00C22AC9">
        <w:rPr>
          <w:rFonts w:cs="Times New Roman"/>
          <w:sz w:val="24"/>
          <w:szCs w:val="24"/>
          <w:lang w:val="lv-LV"/>
        </w:rPr>
        <w:t>šķērsojuma</w:t>
      </w:r>
      <w:r w:rsidR="00DB0D4C">
        <w:rPr>
          <w:rFonts w:cs="Times New Roman"/>
          <w:sz w:val="24"/>
          <w:szCs w:val="24"/>
          <w:lang w:val="lv-LV"/>
        </w:rPr>
        <w:t xml:space="preserve"> </w:t>
      </w:r>
      <w:r>
        <w:rPr>
          <w:rFonts w:cs="Times New Roman"/>
          <w:sz w:val="24"/>
          <w:szCs w:val="24"/>
          <w:lang w:val="lv-LV"/>
        </w:rPr>
        <w:t>ar Valsts nozīmes ūdensnoteku (VNŪ) Skursteņu strauts</w:t>
      </w:r>
      <w:r w:rsidR="00DB0D4C" w:rsidRPr="00DB0D4C">
        <w:rPr>
          <w:rFonts w:cs="Times New Roman"/>
          <w:sz w:val="24"/>
          <w:szCs w:val="24"/>
          <w:lang w:val="lv-LV"/>
        </w:rPr>
        <w:t xml:space="preserve"> </w:t>
      </w:r>
      <w:r w:rsidR="00DB0D4C">
        <w:rPr>
          <w:rFonts w:cs="Times New Roman"/>
          <w:sz w:val="24"/>
          <w:szCs w:val="24"/>
          <w:lang w:val="lv-LV"/>
        </w:rPr>
        <w:t>posma atjaunošanu</w:t>
      </w:r>
      <w:r>
        <w:rPr>
          <w:rFonts w:cs="Times New Roman"/>
          <w:sz w:val="24"/>
          <w:szCs w:val="24"/>
          <w:lang w:val="lv-LV"/>
        </w:rPr>
        <w:t>;</w:t>
      </w:r>
    </w:p>
    <w:p w14:paraId="2F1A6ECF" w14:textId="11E6643B" w:rsidR="008B5A0D" w:rsidRPr="00742081" w:rsidRDefault="008B5A0D" w:rsidP="008B5A0D">
      <w:pPr>
        <w:pStyle w:val="ListParagraph"/>
        <w:numPr>
          <w:ilvl w:val="1"/>
          <w:numId w:val="2"/>
        </w:numPr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Nodrošināt</w:t>
      </w:r>
      <w:r w:rsidRPr="005629BF">
        <w:rPr>
          <w:rFonts w:cs="Times New Roman"/>
          <w:sz w:val="24"/>
          <w:szCs w:val="24"/>
          <w:lang w:val="lv-LV"/>
        </w:rPr>
        <w:t xml:space="preserve"> MNPC „Polocka-Ventspils” guldīšanas </w:t>
      </w:r>
      <w:r w:rsidRPr="008B5A0D">
        <w:rPr>
          <w:rFonts w:cs="Times New Roman"/>
          <w:sz w:val="24"/>
          <w:szCs w:val="24"/>
          <w:lang w:val="lv-LV"/>
        </w:rPr>
        <w:t>dziļumu atbilstoši</w:t>
      </w:r>
      <w:r>
        <w:rPr>
          <w:lang w:val="lv-LV"/>
        </w:rPr>
        <w:t xml:space="preserve"> </w:t>
      </w:r>
      <w:r w:rsidRPr="005629BF">
        <w:rPr>
          <w:rFonts w:cs="Times New Roman"/>
          <w:sz w:val="24"/>
          <w:szCs w:val="24"/>
          <w:lang w:val="lv-LV"/>
        </w:rPr>
        <w:t>LVS 408:2016 „Maģistrālo naftas un naftas produktu cauruļvadu projektēšana”</w:t>
      </w:r>
      <w:r>
        <w:rPr>
          <w:rFonts w:cs="Times New Roman"/>
          <w:sz w:val="24"/>
          <w:szCs w:val="24"/>
          <w:lang w:val="lv-LV"/>
        </w:rPr>
        <w:t xml:space="preserve"> prasībām</w:t>
      </w:r>
      <w:r w:rsidRPr="005629BF">
        <w:rPr>
          <w:rFonts w:cs="Times New Roman"/>
          <w:sz w:val="24"/>
          <w:szCs w:val="24"/>
          <w:lang w:val="lv-LV"/>
        </w:rPr>
        <w:t>;</w:t>
      </w:r>
    </w:p>
    <w:p w14:paraId="2419C754" w14:textId="77777777" w:rsidR="008B5A0D" w:rsidRDefault="008B5A0D" w:rsidP="008B5A0D">
      <w:pPr>
        <w:pStyle w:val="ListParagraph"/>
        <w:numPr>
          <w:ilvl w:val="1"/>
          <w:numId w:val="2"/>
        </w:numPr>
        <w:spacing w:after="240" w:line="276" w:lineRule="auto"/>
        <w:ind w:left="788" w:hanging="431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Atjaunot MNPC „Polocka-Ventspils” ārējo izolāciju šķērsojumā ar VNŪ Skursteņu strauts.</w:t>
      </w:r>
    </w:p>
    <w:p w14:paraId="68320662" w14:textId="77777777" w:rsidR="00E56BE5" w:rsidRPr="00E56BE5" w:rsidRDefault="00E56BE5" w:rsidP="00E56BE5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b/>
          <w:sz w:val="24"/>
          <w:szCs w:val="24"/>
          <w:lang w:val="lv-LV"/>
        </w:rPr>
      </w:pPr>
      <w:r w:rsidRPr="00E56BE5">
        <w:rPr>
          <w:rFonts w:cs="Times New Roman"/>
          <w:b/>
          <w:sz w:val="24"/>
          <w:szCs w:val="24"/>
          <w:lang w:val="lv-LV"/>
        </w:rPr>
        <w:t>Objekta raksturojums:</w:t>
      </w:r>
    </w:p>
    <w:p w14:paraId="20043180" w14:textId="77777777" w:rsidR="003C7257" w:rsidRDefault="003C7257" w:rsidP="003C7257">
      <w:pPr>
        <w:pStyle w:val="ListParagraph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Maģistrālais naftas produktu cauruļvads „Polocka-Ventspils” nodrošina naftas produktu (dīzeļdegvielas</w:t>
      </w:r>
      <w:r>
        <w:rPr>
          <w:lang w:val="lv-LV"/>
        </w:rPr>
        <w:t xml:space="preserve"> </w:t>
      </w:r>
      <w:r w:rsidRPr="00486681">
        <w:rPr>
          <w:rFonts w:cs="Times New Roman"/>
          <w:sz w:val="24"/>
          <w:szCs w:val="24"/>
          <w:lang w:val="lv-LV"/>
        </w:rPr>
        <w:t xml:space="preserve">atbilstoši </w:t>
      </w:r>
      <w:r>
        <w:rPr>
          <w:rFonts w:cs="Times New Roman"/>
          <w:sz w:val="24"/>
          <w:szCs w:val="24"/>
          <w:lang w:val="lv-LV"/>
        </w:rPr>
        <w:t xml:space="preserve">ЕВРО ГОСТ 32511-2013 (ЕN 590:2009)) transportēšanu līdz 8 milj. tonnu/g., projekta spiediens 6.4 </w:t>
      </w:r>
      <w:proofErr w:type="spellStart"/>
      <w:r>
        <w:rPr>
          <w:rFonts w:cs="Times New Roman"/>
          <w:sz w:val="24"/>
          <w:szCs w:val="24"/>
          <w:lang w:val="lv-LV"/>
        </w:rPr>
        <w:t>MPa</w:t>
      </w:r>
      <w:proofErr w:type="spellEnd"/>
      <w:r>
        <w:rPr>
          <w:rFonts w:cs="Times New Roman"/>
          <w:sz w:val="24"/>
          <w:szCs w:val="24"/>
          <w:lang w:val="lv-LV"/>
        </w:rPr>
        <w:t>.</w:t>
      </w:r>
    </w:p>
    <w:p w14:paraId="5BEBBF15" w14:textId="77777777" w:rsidR="003C7257" w:rsidRDefault="003C7257" w:rsidP="003C7257">
      <w:pPr>
        <w:pStyle w:val="ListParagraph"/>
        <w:numPr>
          <w:ilvl w:val="1"/>
          <w:numId w:val="2"/>
        </w:numPr>
        <w:spacing w:line="276" w:lineRule="auto"/>
        <w:ind w:left="788" w:hanging="431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Objekts atrodas Vircavas pagastā</w:t>
      </w:r>
      <w:r w:rsidRPr="0083750D">
        <w:rPr>
          <w:rFonts w:cs="Times New Roman"/>
          <w:sz w:val="24"/>
          <w:szCs w:val="24"/>
          <w:lang w:val="lv-LV"/>
        </w:rPr>
        <w:t>,</w:t>
      </w:r>
      <w:r>
        <w:rPr>
          <w:rFonts w:cs="Times New Roman"/>
          <w:sz w:val="24"/>
          <w:szCs w:val="24"/>
          <w:lang w:val="lv-LV"/>
        </w:rPr>
        <w:t xml:space="preserve"> Jelgavas novadā</w:t>
      </w:r>
      <w:r w:rsidRPr="0083750D">
        <w:rPr>
          <w:rFonts w:cs="Times New Roman"/>
          <w:sz w:val="24"/>
          <w:szCs w:val="24"/>
          <w:lang w:val="lv-LV"/>
        </w:rPr>
        <w:t xml:space="preserve">, </w:t>
      </w:r>
      <w:r w:rsidRPr="00CC1125">
        <w:rPr>
          <w:rFonts w:cs="Times New Roman"/>
          <w:sz w:val="24"/>
          <w:szCs w:val="24"/>
          <w:lang w:val="lv-LV"/>
        </w:rPr>
        <w:t>LV-</w:t>
      </w:r>
      <w:r>
        <w:rPr>
          <w:rFonts w:cs="Times New Roman"/>
          <w:sz w:val="24"/>
          <w:szCs w:val="24"/>
          <w:lang w:val="lv-LV"/>
        </w:rPr>
        <w:t xml:space="preserve">3020, šķērso zemes vienības ar kadastra apzīmējumiem </w:t>
      </w:r>
      <w:r w:rsidRPr="00B22671">
        <w:rPr>
          <w:rFonts w:cs="Times New Roman"/>
          <w:sz w:val="24"/>
          <w:szCs w:val="24"/>
          <w:lang w:val="lv-LV"/>
        </w:rPr>
        <w:t>54920040175</w:t>
      </w:r>
      <w:r>
        <w:rPr>
          <w:rFonts w:cs="Times New Roman"/>
          <w:sz w:val="24"/>
          <w:szCs w:val="24"/>
          <w:lang w:val="lv-LV"/>
        </w:rPr>
        <w:t>,</w:t>
      </w:r>
      <w:r w:rsidRPr="00D94522">
        <w:rPr>
          <w:rFonts w:cs="Times New Roman"/>
          <w:sz w:val="24"/>
          <w:szCs w:val="24"/>
          <w:lang w:val="lv-LV"/>
        </w:rPr>
        <w:t xml:space="preserve"> </w:t>
      </w:r>
      <w:r>
        <w:rPr>
          <w:rFonts w:cs="Times New Roman"/>
          <w:sz w:val="24"/>
          <w:szCs w:val="24"/>
          <w:lang w:val="lv-LV"/>
        </w:rPr>
        <w:t xml:space="preserve">54920040247, </w:t>
      </w:r>
      <w:r w:rsidRPr="00666198">
        <w:rPr>
          <w:rFonts w:cs="Times New Roman"/>
          <w:color w:val="000000"/>
          <w:sz w:val="24"/>
          <w:szCs w:val="24"/>
          <w:shd w:val="clear" w:color="auto" w:fill="FFFFFF"/>
          <w:lang w:val="lv-LV"/>
        </w:rPr>
        <w:t>54920040016</w:t>
      </w:r>
      <w:r>
        <w:rPr>
          <w:rStyle w:val="apple-style-span"/>
          <w:rFonts w:cs="Times New Roman"/>
          <w:color w:val="000000"/>
          <w:sz w:val="24"/>
          <w:szCs w:val="24"/>
          <w:shd w:val="clear" w:color="auto" w:fill="FFFFFF"/>
          <w:lang w:val="lv-LV"/>
        </w:rPr>
        <w:t>,</w:t>
      </w:r>
      <w:r w:rsidRPr="00F8550B">
        <w:rPr>
          <w:rFonts w:cs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cs="Times New Roman"/>
          <w:color w:val="000000"/>
          <w:sz w:val="24"/>
          <w:szCs w:val="24"/>
          <w:shd w:val="clear" w:color="auto" w:fill="FFFFFF"/>
          <w:lang w:val="lv-LV"/>
        </w:rPr>
        <w:t>54920040017</w:t>
      </w:r>
      <w:r w:rsidRPr="003972AF">
        <w:rPr>
          <w:rFonts w:cs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r w:rsidRPr="00666198">
        <w:rPr>
          <w:rFonts w:cs="Times New Roman"/>
          <w:color w:val="000000"/>
          <w:sz w:val="24"/>
          <w:szCs w:val="24"/>
          <w:shd w:val="clear" w:color="auto" w:fill="FFFFFF"/>
          <w:lang w:val="lv-LV"/>
        </w:rPr>
        <w:t>54920040101</w:t>
      </w:r>
      <w:r>
        <w:rPr>
          <w:rFonts w:cs="Times New Roman"/>
          <w:color w:val="000000"/>
          <w:sz w:val="24"/>
          <w:szCs w:val="24"/>
          <w:shd w:val="clear" w:color="auto" w:fill="FFFFFF"/>
          <w:lang w:val="lv-LV"/>
        </w:rPr>
        <w:t>,</w:t>
      </w:r>
      <w:r>
        <w:rPr>
          <w:rFonts w:cs="Times New Roman"/>
          <w:sz w:val="24"/>
          <w:szCs w:val="24"/>
          <w:lang w:val="lv-LV"/>
        </w:rPr>
        <w:t xml:space="preserve"> </w:t>
      </w:r>
      <w:r>
        <w:rPr>
          <w:rFonts w:cs="Times New Roman"/>
          <w:color w:val="000000"/>
          <w:sz w:val="24"/>
          <w:szCs w:val="24"/>
          <w:shd w:val="clear" w:color="auto" w:fill="FFFFFF"/>
          <w:lang w:val="lv-LV"/>
        </w:rPr>
        <w:t>54920040229.</w:t>
      </w:r>
    </w:p>
    <w:p w14:paraId="7E0E82AF" w14:textId="77777777" w:rsidR="003C7257" w:rsidRDefault="003C7257" w:rsidP="003C7257">
      <w:pPr>
        <w:pStyle w:val="ListParagraph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Maģistrālā naftas produktu cauruļvada “Polocka-Ventspils” pamatdati:</w:t>
      </w:r>
    </w:p>
    <w:p w14:paraId="0DB86FA9" w14:textId="77777777" w:rsidR="003C7257" w:rsidRDefault="003C7257" w:rsidP="003C7257">
      <w:pPr>
        <w:pStyle w:val="ListParagraph"/>
        <w:spacing w:line="276" w:lineRule="auto"/>
        <w:ind w:left="142" w:firstLine="650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- MNPC „Polocka-Ventspils” nodots ekspluatācijā 1972. g.; </w:t>
      </w:r>
    </w:p>
    <w:p w14:paraId="77A05213" w14:textId="77777777" w:rsidR="003C7257" w:rsidRPr="009B3AEC" w:rsidRDefault="003C7257" w:rsidP="003C7257">
      <w:pPr>
        <w:pStyle w:val="ListParagraph"/>
        <w:spacing w:line="276" w:lineRule="auto"/>
        <w:ind w:left="142" w:firstLine="650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- apakšzemes cauruļvads, bet ūdensnotekas gultnē ir atsegts;</w:t>
      </w:r>
    </w:p>
    <w:p w14:paraId="5C799F22" w14:textId="77777777" w:rsidR="003C7257" w:rsidRDefault="003C7257" w:rsidP="003C7257">
      <w:pPr>
        <w:pStyle w:val="ListParagraph"/>
        <w:spacing w:line="276" w:lineRule="auto"/>
        <w:ind w:left="794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- cauruļvada ārējais diametrs – 529 mm;</w:t>
      </w:r>
    </w:p>
    <w:p w14:paraId="40DABB7C" w14:textId="77777777" w:rsidR="003C7257" w:rsidRDefault="003C7257" w:rsidP="003C7257">
      <w:pPr>
        <w:pStyle w:val="ListParagraph"/>
        <w:spacing w:line="276" w:lineRule="auto"/>
        <w:ind w:left="792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- cauruļvada sieniņas biezums – 8,0 mm;</w:t>
      </w:r>
    </w:p>
    <w:p w14:paraId="22575F9D" w14:textId="77777777" w:rsidR="003C7257" w:rsidRPr="005E4A88" w:rsidRDefault="003C7257" w:rsidP="003C7257">
      <w:pPr>
        <w:pStyle w:val="ListParagraph"/>
        <w:spacing w:line="276" w:lineRule="auto"/>
        <w:ind w:left="792"/>
        <w:jc w:val="both"/>
        <w:rPr>
          <w:rFonts w:cs="Times New Roman"/>
          <w:sz w:val="24"/>
          <w:szCs w:val="24"/>
          <w:lang w:val="lv-LV"/>
        </w:rPr>
      </w:pPr>
      <w:r w:rsidRPr="005E4A88">
        <w:rPr>
          <w:rFonts w:cs="Times New Roman"/>
          <w:sz w:val="24"/>
          <w:szCs w:val="24"/>
          <w:lang w:val="lv-LV"/>
        </w:rPr>
        <w:t>- cauruļu materiāls – tērauda marka „C” bezšuvju caurules saskaņā ar TP 208.1-C-002/66 Čehija un garenšuves caurule ar sekcijas garumu līdz 11,7 m, atbilst ЧМТУ 3-225-69, tērauda marka 17GS</w:t>
      </w:r>
      <w:r w:rsidRPr="005E4A88">
        <w:rPr>
          <w:rFonts w:ascii="Tahoma" w:hAnsi="Tahoma" w:cs="Tahoma"/>
          <w:color w:val="333333"/>
          <w:shd w:val="clear" w:color="auto" w:fill="FFFFFF"/>
          <w:lang w:val="lv-LV"/>
        </w:rPr>
        <w:t xml:space="preserve"> </w:t>
      </w:r>
      <w:r w:rsidRPr="005E4A88">
        <w:rPr>
          <w:rFonts w:cs="Times New Roman"/>
          <w:color w:val="000000" w:themeColor="text1"/>
          <w:sz w:val="24"/>
          <w:szCs w:val="24"/>
          <w:shd w:val="clear" w:color="auto" w:fill="FFFFFF"/>
          <w:lang w:val="lv-LV"/>
        </w:rPr>
        <w:t>atbilstoši</w:t>
      </w:r>
      <w:r w:rsidRPr="005E4A88">
        <w:rPr>
          <w:rFonts w:ascii="Tahoma" w:hAnsi="Tahoma" w:cs="Tahoma"/>
          <w:color w:val="000000" w:themeColor="text1"/>
          <w:shd w:val="clear" w:color="auto" w:fill="FFFFFF"/>
          <w:lang w:val="lv-LV"/>
        </w:rPr>
        <w:t xml:space="preserve"> </w:t>
      </w:r>
      <w:r w:rsidRPr="005E4A88">
        <w:rPr>
          <w:rFonts w:cs="Times New Roman"/>
          <w:color w:val="000000" w:themeColor="text1"/>
          <w:sz w:val="24"/>
          <w:szCs w:val="24"/>
          <w:shd w:val="clear" w:color="auto" w:fill="FFFFFF"/>
          <w:lang w:val="lv-LV"/>
        </w:rPr>
        <w:t>ЧМТУ 1-655-69</w:t>
      </w:r>
      <w:r w:rsidRPr="005E4A88">
        <w:rPr>
          <w:rFonts w:cs="Times New Roman"/>
          <w:color w:val="000000" w:themeColor="text1"/>
          <w:sz w:val="24"/>
          <w:szCs w:val="24"/>
          <w:lang w:val="lv-LV"/>
        </w:rPr>
        <w:t xml:space="preserve">, </w:t>
      </w:r>
      <w:r w:rsidRPr="005E4A88">
        <w:rPr>
          <w:rFonts w:cs="Times New Roman"/>
          <w:sz w:val="24"/>
          <w:szCs w:val="24"/>
          <w:lang w:val="lv-LV"/>
        </w:rPr>
        <w:t>sekcijas savstarpēji sametinātas;</w:t>
      </w:r>
    </w:p>
    <w:p w14:paraId="0CFBBC2A" w14:textId="77777777" w:rsidR="003C7257" w:rsidRDefault="003C7257" w:rsidP="003C7257">
      <w:pPr>
        <w:pStyle w:val="ListParagraph"/>
        <w:spacing w:line="276" w:lineRule="auto"/>
        <w:ind w:left="142" w:firstLine="650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- izolācijas tips – bitumena izolācija (</w:t>
      </w:r>
      <w:r w:rsidRPr="00352C49">
        <w:rPr>
          <w:rFonts w:cs="Times New Roman"/>
          <w:sz w:val="24"/>
          <w:szCs w:val="24"/>
          <w:lang w:val="lv-LV"/>
        </w:rPr>
        <w:t>МБР-90)</w:t>
      </w:r>
      <w:r>
        <w:rPr>
          <w:rFonts w:cs="Times New Roman"/>
          <w:sz w:val="24"/>
          <w:szCs w:val="24"/>
          <w:lang w:val="lv-LV"/>
        </w:rPr>
        <w:t>;</w:t>
      </w:r>
    </w:p>
    <w:p w14:paraId="306E5E97" w14:textId="77777777" w:rsidR="003C7257" w:rsidRPr="00AD733D" w:rsidRDefault="003C7257" w:rsidP="003C7257">
      <w:pPr>
        <w:pStyle w:val="ListParagraph"/>
        <w:spacing w:line="276" w:lineRule="auto"/>
        <w:ind w:left="142" w:firstLine="650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- papildus informācija par cauruļvadu iegūstama no Pasūtītāja atsevišķi pēc pieprasījuma.</w:t>
      </w:r>
    </w:p>
    <w:p w14:paraId="152F9DB3" w14:textId="77777777" w:rsidR="003C7257" w:rsidRDefault="003C7257" w:rsidP="003C7257">
      <w:pPr>
        <w:pStyle w:val="ListParagraph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Maģistrālais naftas produktu cauruļvads pieskaitāms III grupas inženierbūvei.</w:t>
      </w:r>
    </w:p>
    <w:p w14:paraId="5EC1A382" w14:textId="77777777" w:rsidR="003C7257" w:rsidRDefault="003C7257" w:rsidP="003C7257">
      <w:pPr>
        <w:pStyle w:val="ListParagraph"/>
        <w:numPr>
          <w:ilvl w:val="1"/>
          <w:numId w:val="2"/>
        </w:numPr>
        <w:spacing w:after="240" w:line="276" w:lineRule="auto"/>
        <w:ind w:left="788" w:hanging="431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Būves klasifikācijas kods 221101, Maģistrālie naftas produktu cauruļvadi ar iekšējo diametru 500 mm un lielāku.</w:t>
      </w:r>
    </w:p>
    <w:p w14:paraId="311BBA1E" w14:textId="4DA6837F" w:rsidR="00486EEB" w:rsidRDefault="0064564D" w:rsidP="00773137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  <w:b/>
          <w:sz w:val="24"/>
          <w:szCs w:val="24"/>
          <w:lang w:val="lv-LV"/>
        </w:rPr>
      </w:pPr>
      <w:r>
        <w:rPr>
          <w:rFonts w:cs="Times New Roman"/>
          <w:b/>
          <w:sz w:val="24"/>
          <w:szCs w:val="24"/>
          <w:lang w:val="lv-LV"/>
        </w:rPr>
        <w:t>Prasība</w:t>
      </w:r>
      <w:r w:rsidR="00486EEB" w:rsidRPr="00486EEB">
        <w:rPr>
          <w:rFonts w:cs="Times New Roman"/>
          <w:b/>
          <w:sz w:val="24"/>
          <w:szCs w:val="24"/>
          <w:lang w:val="lv-LV"/>
        </w:rPr>
        <w:t xml:space="preserve">s attiecībā uz </w:t>
      </w:r>
      <w:r w:rsidR="00471DE9">
        <w:rPr>
          <w:rFonts w:cs="Times New Roman"/>
          <w:b/>
          <w:sz w:val="24"/>
          <w:szCs w:val="24"/>
          <w:lang w:val="lv-LV"/>
        </w:rPr>
        <w:t>būvdarbu veikšanu</w:t>
      </w:r>
      <w:r w:rsidR="00FB23EA">
        <w:rPr>
          <w:rFonts w:cs="Times New Roman"/>
          <w:b/>
          <w:sz w:val="24"/>
          <w:szCs w:val="24"/>
          <w:lang w:val="lv-LV"/>
        </w:rPr>
        <w:t>.</w:t>
      </w:r>
    </w:p>
    <w:tbl>
      <w:tblPr>
        <w:tblW w:w="9927" w:type="dxa"/>
        <w:jc w:val="right"/>
        <w:tblLook w:val="04A0" w:firstRow="1" w:lastRow="0" w:firstColumn="1" w:lastColumn="0" w:noHBand="0" w:noVBand="1"/>
      </w:tblPr>
      <w:tblGrid>
        <w:gridCol w:w="1413"/>
        <w:gridCol w:w="8514"/>
      </w:tblGrid>
      <w:tr w:rsidR="00D279BD" w:rsidRPr="00D279BD" w14:paraId="5CE66098" w14:textId="77777777" w:rsidTr="00211C6B">
        <w:trPr>
          <w:trHeight w:val="30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AE68045" w14:textId="77777777" w:rsidR="00D279BD" w:rsidRPr="00D279BD" w:rsidRDefault="00D279BD" w:rsidP="00D279BD">
            <w:pPr>
              <w:numPr>
                <w:ilvl w:val="1"/>
                <w:numId w:val="2"/>
              </w:numPr>
              <w:spacing w:after="0" w:line="240" w:lineRule="auto"/>
              <w:ind w:left="488" w:hanging="431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D3A179" w14:textId="00FB5FA0" w:rsidR="00D279BD" w:rsidRPr="00D279BD" w:rsidRDefault="00D411BB" w:rsidP="00D279BD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  <w:t>Vispārīgā</w:t>
            </w:r>
            <w:r w:rsidR="00FB23E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  <w:t>s prasības:</w:t>
            </w:r>
          </w:p>
        </w:tc>
      </w:tr>
      <w:tr w:rsidR="00D279BD" w:rsidRPr="004A6166" w14:paraId="2BE7C618" w14:textId="77777777" w:rsidTr="00211C6B">
        <w:trPr>
          <w:trHeight w:val="600"/>
          <w:jc w:val="righ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858F" w14:textId="77777777" w:rsidR="00D279BD" w:rsidRPr="00D279BD" w:rsidRDefault="00D279BD" w:rsidP="00D279BD">
            <w:pPr>
              <w:numPr>
                <w:ilvl w:val="2"/>
                <w:numId w:val="2"/>
              </w:numPr>
              <w:spacing w:after="0" w:line="240" w:lineRule="auto"/>
              <w:ind w:left="1872" w:hanging="1134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665C" w14:textId="241B5BD4" w:rsidR="00D279BD" w:rsidRPr="00D279BD" w:rsidRDefault="00D279BD" w:rsidP="00D279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  <w:r w:rsidRPr="00D279BD"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  <w:t>Būvdarbi jāveic atbilstoši būvprojekta tehniskajiem risinājumiem, Latvijas Republikas normatīvo aktu prasībām, ievērojot Pasūtītāja iekšējās kārt</w:t>
            </w:r>
            <w:r w:rsidR="00D411BB"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  <w:t>ības noteikumus un instrukcijas.</w:t>
            </w:r>
          </w:p>
        </w:tc>
      </w:tr>
    </w:tbl>
    <w:p w14:paraId="7663B699" w14:textId="5148F903" w:rsidR="002419E9" w:rsidRPr="007F1480" w:rsidRDefault="002419E9" w:rsidP="002419E9">
      <w:pPr>
        <w:pStyle w:val="ListParagraph"/>
        <w:spacing w:line="360" w:lineRule="auto"/>
        <w:ind w:left="792"/>
        <w:rPr>
          <w:rFonts w:cs="Times New Roman"/>
          <w:sz w:val="24"/>
          <w:szCs w:val="24"/>
          <w:lang w:val="lv-LV"/>
        </w:rPr>
      </w:pPr>
    </w:p>
    <w:p w14:paraId="59CEE4C3" w14:textId="456B2272" w:rsidR="00D279BD" w:rsidRDefault="00D279BD" w:rsidP="00744EB1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b/>
          <w:sz w:val="24"/>
          <w:szCs w:val="24"/>
          <w:lang w:val="lv-LV"/>
        </w:rPr>
      </w:pPr>
      <w:r>
        <w:rPr>
          <w:rFonts w:cs="Times New Roman"/>
          <w:b/>
          <w:sz w:val="24"/>
          <w:szCs w:val="24"/>
          <w:lang w:val="lv-LV"/>
        </w:rPr>
        <w:t>B</w:t>
      </w:r>
      <w:r w:rsidR="00FB23EA">
        <w:rPr>
          <w:rFonts w:cs="Times New Roman"/>
          <w:b/>
          <w:sz w:val="24"/>
          <w:szCs w:val="24"/>
          <w:lang w:val="lv-LV"/>
        </w:rPr>
        <w:t>ūvniecības darbu galvenie etapi.</w:t>
      </w:r>
    </w:p>
    <w:tbl>
      <w:tblPr>
        <w:tblW w:w="9927" w:type="dxa"/>
        <w:jc w:val="right"/>
        <w:tblLook w:val="04A0" w:firstRow="1" w:lastRow="0" w:firstColumn="1" w:lastColumn="0" w:noHBand="0" w:noVBand="1"/>
      </w:tblPr>
      <w:tblGrid>
        <w:gridCol w:w="1555"/>
        <w:gridCol w:w="8372"/>
      </w:tblGrid>
      <w:tr w:rsidR="00D279BD" w:rsidRPr="004A6166" w14:paraId="5310AD1C" w14:textId="77777777" w:rsidTr="00FB23EA">
        <w:trPr>
          <w:trHeight w:val="300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3560F61" w14:textId="77777777" w:rsidR="00D279BD" w:rsidRPr="0028291E" w:rsidRDefault="00D279BD" w:rsidP="00D279B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88" w:hanging="431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bookmarkStart w:id="0" w:name="OLE_LINK1"/>
          </w:p>
        </w:tc>
        <w:tc>
          <w:tcPr>
            <w:tcW w:w="8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98FC37" w14:textId="76C238F2" w:rsidR="00D279BD" w:rsidRPr="009327B5" w:rsidRDefault="003C7257" w:rsidP="00D279BD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3C725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  <w:t>Maģistrālā naftas produktu cauruļvada „Polocka-Ventspils” 326. km atjaunošanas, šķērsojumā ar VNŪ Skursteņu strauts, galvenie etapi:</w:t>
            </w:r>
          </w:p>
        </w:tc>
      </w:tr>
      <w:tr w:rsidR="003C7257" w:rsidRPr="00352C49" w14:paraId="6C8957D8" w14:textId="77777777" w:rsidTr="001747F7">
        <w:trPr>
          <w:trHeight w:val="600"/>
          <w:jc w:val="right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F0ED" w14:textId="77777777" w:rsidR="003C7257" w:rsidRPr="0028291E" w:rsidRDefault="003C7257" w:rsidP="003C7257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872" w:hanging="113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8134" w14:textId="4AB3260E" w:rsidR="003C7257" w:rsidRPr="00837DB8" w:rsidRDefault="003C7257" w:rsidP="003C7257">
            <w:pPr>
              <w:spacing w:after="0"/>
              <w:rPr>
                <w:rFonts w:eastAsia="Times New Roman" w:cs="Times New Roman"/>
                <w:color w:val="000000"/>
                <w:lang w:val="lv-LV"/>
              </w:rPr>
            </w:pPr>
            <w:r w:rsidRPr="00352C49">
              <w:rPr>
                <w:lang w:val="lv-LV"/>
              </w:rPr>
              <w:t>Pagaidu caurtekas ierīkošana</w:t>
            </w:r>
            <w:r w:rsidR="00837DB8" w:rsidRPr="00837DB8">
              <w:rPr>
                <w:rFonts w:eastAsia="Times New Roman" w:cs="Times New Roman"/>
                <w:i/>
                <w:iCs/>
                <w:color w:val="000000"/>
                <w:lang w:val="lv-LV"/>
              </w:rPr>
              <w:t xml:space="preserve"> </w:t>
            </w:r>
            <w:r w:rsidR="00837DB8" w:rsidRPr="00837DB8">
              <w:rPr>
                <w:rFonts w:eastAsia="Times New Roman" w:cs="Times New Roman"/>
                <w:iCs/>
                <w:color w:val="000000"/>
                <w:lang w:val="lv-LV"/>
              </w:rPr>
              <w:t>VNŪ Skursteņu strauts gultnē</w:t>
            </w:r>
            <w:r w:rsidRPr="00352C49">
              <w:rPr>
                <w:lang w:val="lv-LV"/>
              </w:rPr>
              <w:t>;</w:t>
            </w:r>
          </w:p>
        </w:tc>
      </w:tr>
      <w:tr w:rsidR="003C7257" w:rsidRPr="00D279BD" w14:paraId="31D5CB02" w14:textId="77777777" w:rsidTr="001747F7">
        <w:trPr>
          <w:trHeight w:val="300"/>
          <w:jc w:val="right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F7CF" w14:textId="77777777" w:rsidR="003C7257" w:rsidRPr="0028291E" w:rsidRDefault="003C7257" w:rsidP="003C7257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8309" w14:textId="6CA1841F" w:rsidR="003C7257" w:rsidRDefault="003C7257" w:rsidP="003C7257">
            <w:pPr>
              <w:spacing w:after="0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C77203">
              <w:t>Tranšeju</w:t>
            </w:r>
            <w:proofErr w:type="spellEnd"/>
            <w:r w:rsidRPr="00C77203">
              <w:t xml:space="preserve"> un </w:t>
            </w:r>
            <w:proofErr w:type="spellStart"/>
            <w:r w:rsidRPr="00C77203">
              <w:t>būvbedru</w:t>
            </w:r>
            <w:proofErr w:type="spellEnd"/>
            <w:r w:rsidRPr="00C77203">
              <w:t xml:space="preserve"> </w:t>
            </w:r>
            <w:proofErr w:type="spellStart"/>
            <w:r w:rsidRPr="00C77203">
              <w:t>rakšana</w:t>
            </w:r>
            <w:proofErr w:type="spellEnd"/>
            <w:r w:rsidRPr="00C77203">
              <w:t>;</w:t>
            </w:r>
          </w:p>
        </w:tc>
      </w:tr>
      <w:tr w:rsidR="003C7257" w:rsidRPr="004A6166" w14:paraId="3C581679" w14:textId="77777777" w:rsidTr="00FB23EA">
        <w:trPr>
          <w:trHeight w:val="300"/>
          <w:jc w:val="right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3209" w14:textId="77777777" w:rsidR="003C7257" w:rsidRPr="0028291E" w:rsidRDefault="003C7257" w:rsidP="003C7257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6A12" w14:textId="1D329496" w:rsidR="003C7257" w:rsidRDefault="003C7257" w:rsidP="000C15EB">
            <w:pPr>
              <w:spacing w:after="0"/>
              <w:rPr>
                <w:lang w:val="lv-LV"/>
              </w:rPr>
            </w:pPr>
            <w:r>
              <w:rPr>
                <w:lang w:val="lv-LV"/>
              </w:rPr>
              <w:t>Maģistrālā cauruļvada posma</w:t>
            </w:r>
            <w:r w:rsidR="000C15EB">
              <w:rPr>
                <w:lang w:val="lv-LV"/>
              </w:rPr>
              <w:t xml:space="preserve"> (49.4</w:t>
            </w:r>
            <w:r w:rsidR="000C15EB" w:rsidRPr="003C7257">
              <w:rPr>
                <w:lang w:val="lv-LV"/>
              </w:rPr>
              <w:t>m</w:t>
            </w:r>
            <w:r w:rsidR="000C15EB">
              <w:rPr>
                <w:lang w:val="lv-LV"/>
              </w:rPr>
              <w:t xml:space="preserve">) </w:t>
            </w:r>
            <w:r w:rsidR="002A2D68">
              <w:rPr>
                <w:lang w:val="lv-LV"/>
              </w:rPr>
              <w:t>iztukšošana no dīzeļdegvielas, nomaināmā posma</w:t>
            </w:r>
            <w:r w:rsidR="000C15EB">
              <w:rPr>
                <w:lang w:val="lv-LV"/>
              </w:rPr>
              <w:t xml:space="preserve"> izgriešana ar </w:t>
            </w:r>
            <w:proofErr w:type="spellStart"/>
            <w:r w:rsidR="002A2D68">
              <w:rPr>
                <w:lang w:val="lv-LV"/>
              </w:rPr>
              <w:t>bezdzirksteļu</w:t>
            </w:r>
            <w:proofErr w:type="spellEnd"/>
            <w:r w:rsidR="000C15EB">
              <w:rPr>
                <w:lang w:val="lv-LV"/>
              </w:rPr>
              <w:t xml:space="preserve"> griezēju, atvienoto galu</w:t>
            </w:r>
            <w:r w:rsidR="00837DB8">
              <w:rPr>
                <w:lang w:val="lv-LV"/>
              </w:rPr>
              <w:t xml:space="preserve"> hermetizēšana uzstādot</w:t>
            </w:r>
            <w:r w:rsidR="0074772A">
              <w:rPr>
                <w:lang w:val="lv-LV"/>
              </w:rPr>
              <w:t xml:space="preserve"> pneimatiskās noslē</w:t>
            </w:r>
            <w:r w:rsidR="00837DB8">
              <w:rPr>
                <w:lang w:val="lv-LV"/>
              </w:rPr>
              <w:t>gierīces</w:t>
            </w:r>
            <w:r w:rsidR="000C15EB">
              <w:rPr>
                <w:lang w:val="lv-LV"/>
              </w:rPr>
              <w:t xml:space="preserve"> </w:t>
            </w:r>
            <w:r w:rsidR="002A2D68">
              <w:rPr>
                <w:lang w:val="lv-LV"/>
              </w:rPr>
              <w:t>(nodrošina Pasūtītājs)</w:t>
            </w:r>
            <w:r w:rsidR="00837DB8">
              <w:rPr>
                <w:lang w:val="lv-LV"/>
              </w:rPr>
              <w:t>;</w:t>
            </w:r>
          </w:p>
        </w:tc>
      </w:tr>
      <w:tr w:rsidR="003C7257" w:rsidRPr="004A6166" w14:paraId="4ECE2DB2" w14:textId="77777777" w:rsidTr="00FB23EA">
        <w:trPr>
          <w:trHeight w:val="300"/>
          <w:jc w:val="right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D0A7" w14:textId="77777777" w:rsidR="003C7257" w:rsidRPr="0028291E" w:rsidRDefault="003C7257" w:rsidP="003C7257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8BDC" w14:textId="7A7EE981" w:rsidR="003C7257" w:rsidRDefault="003C7257" w:rsidP="003C7257">
            <w:pPr>
              <w:spacing w:after="0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>
              <w:rPr>
                <w:lang w:val="lv-LV"/>
              </w:rPr>
              <w:t>Jaun</w:t>
            </w:r>
            <w:r w:rsidRPr="003C7257">
              <w:rPr>
                <w:lang w:val="lv-LV"/>
              </w:rPr>
              <w:t>а</w:t>
            </w:r>
            <w:proofErr w:type="spellEnd"/>
            <w:r w:rsidRPr="003C7257">
              <w:rPr>
                <w:lang w:val="lv-LV"/>
              </w:rPr>
              <w:t xml:space="preserve"> </w:t>
            </w:r>
            <w:r>
              <w:rPr>
                <w:lang w:val="lv-LV"/>
              </w:rPr>
              <w:t>maģistrālā cauruļvada posma izbūve (49.4</w:t>
            </w:r>
            <w:r w:rsidRPr="003C7257">
              <w:rPr>
                <w:lang w:val="lv-LV"/>
              </w:rPr>
              <w:t>m</w:t>
            </w:r>
            <w:r>
              <w:rPr>
                <w:lang w:val="lv-LV"/>
              </w:rPr>
              <w:t>) ar nepieciešamajiem liekuma rādiusiem,</w:t>
            </w:r>
            <w:r w:rsidRPr="003C7257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sekciju </w:t>
            </w:r>
            <w:r w:rsidRPr="003C7257">
              <w:rPr>
                <w:lang w:val="lv-LV"/>
              </w:rPr>
              <w:t>montāža un metināšana, kas nodrošina nepieciešamo cauruļvada guldīšanas dziļumu VNŪ Skursteņu strauts gultnē;</w:t>
            </w:r>
          </w:p>
        </w:tc>
      </w:tr>
      <w:tr w:rsidR="0074772A" w:rsidRPr="003C7257" w14:paraId="68C26654" w14:textId="77777777" w:rsidTr="001747F7">
        <w:trPr>
          <w:trHeight w:val="300"/>
          <w:jc w:val="right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A10E" w14:textId="77777777" w:rsidR="0074772A" w:rsidRPr="0028291E" w:rsidRDefault="0074772A" w:rsidP="003C7257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4C43" w14:textId="4452D8B5" w:rsidR="0074772A" w:rsidRDefault="0074772A" w:rsidP="003C7257">
            <w:pPr>
              <w:spacing w:after="0"/>
              <w:rPr>
                <w:lang w:val="lv-LV"/>
              </w:rPr>
            </w:pPr>
            <w:r>
              <w:rPr>
                <w:lang w:val="lv-LV"/>
              </w:rPr>
              <w:t>Metināto savienojumu nesagraujošā kontrole;</w:t>
            </w:r>
          </w:p>
        </w:tc>
      </w:tr>
      <w:tr w:rsidR="00837DB8" w:rsidRPr="004A6166" w14:paraId="29C9A27F" w14:textId="77777777" w:rsidTr="001747F7">
        <w:trPr>
          <w:trHeight w:val="300"/>
          <w:jc w:val="right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A04B" w14:textId="77777777" w:rsidR="00837DB8" w:rsidRPr="0028291E" w:rsidRDefault="00837DB8" w:rsidP="003C7257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3164" w14:textId="3DED0F31" w:rsidR="00837DB8" w:rsidRPr="003C7257" w:rsidRDefault="0074772A" w:rsidP="003C7257">
            <w:pPr>
              <w:spacing w:after="0"/>
              <w:rPr>
                <w:lang w:val="lv-LV"/>
              </w:rPr>
            </w:pPr>
            <w:r>
              <w:rPr>
                <w:lang w:val="lv-LV"/>
              </w:rPr>
              <w:t>Jaunizbūvētā maģistrālā cauruļvada posma stiprības un blīvuma pārbaude;</w:t>
            </w:r>
          </w:p>
        </w:tc>
      </w:tr>
      <w:tr w:rsidR="003C7257" w:rsidRPr="003C7257" w14:paraId="56F71300" w14:textId="77777777" w:rsidTr="001747F7">
        <w:trPr>
          <w:trHeight w:val="300"/>
          <w:jc w:val="right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FA36" w14:textId="77777777" w:rsidR="003C7257" w:rsidRPr="0028291E" w:rsidRDefault="003C7257" w:rsidP="003C7257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9D51" w14:textId="4F705201" w:rsidR="003C7257" w:rsidRDefault="003C7257" w:rsidP="003C7257">
            <w:pPr>
              <w:spacing w:after="0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 w:rsidRPr="003C7257">
              <w:rPr>
                <w:lang w:val="lv-LV"/>
              </w:rPr>
              <w:t>Pretkorozijas izolācijas uzklāšana;</w:t>
            </w:r>
          </w:p>
        </w:tc>
      </w:tr>
      <w:tr w:rsidR="003C7257" w:rsidRPr="008B5A0D" w14:paraId="6D3C28D9" w14:textId="77777777" w:rsidTr="00FB23EA">
        <w:trPr>
          <w:trHeight w:val="300"/>
          <w:jc w:val="right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C89E" w14:textId="77777777" w:rsidR="003C7257" w:rsidRPr="0028291E" w:rsidRDefault="003C7257" w:rsidP="003C7257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0A25" w14:textId="5811CCD8" w:rsidR="003C7257" w:rsidRDefault="003C7257" w:rsidP="003C7257">
            <w:pPr>
              <w:spacing w:after="0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 w:rsidRPr="003C7257">
              <w:rPr>
                <w:lang w:val="lv-LV"/>
              </w:rPr>
              <w:t>Tranšeju aizbēršana;</w:t>
            </w:r>
          </w:p>
        </w:tc>
      </w:tr>
      <w:tr w:rsidR="003C7257" w:rsidRPr="004A6166" w14:paraId="785C7D9E" w14:textId="77777777" w:rsidTr="001747F7">
        <w:trPr>
          <w:trHeight w:val="300"/>
          <w:jc w:val="right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D7E2" w14:textId="77777777" w:rsidR="003C7257" w:rsidRPr="0028291E" w:rsidRDefault="003C7257" w:rsidP="003C7257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D066" w14:textId="3745F6FC" w:rsidR="003C7257" w:rsidRDefault="003C7257" w:rsidP="0074772A">
            <w:pPr>
              <w:spacing w:after="0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 w:rsidRPr="003C7257">
              <w:rPr>
                <w:lang w:val="lv-LV"/>
              </w:rPr>
              <w:t xml:space="preserve">VNŪ Skursteņu strauts gultnes </w:t>
            </w:r>
            <w:r w:rsidR="0074772A">
              <w:rPr>
                <w:lang w:val="lv-LV"/>
              </w:rPr>
              <w:t>tīrīšana un drenāžas atjaunošana atbilstoši Meliorācijas daļas risinājumiem</w:t>
            </w:r>
            <w:r w:rsidRPr="0074772A">
              <w:rPr>
                <w:lang w:val="lv-LV"/>
              </w:rPr>
              <w:t>.</w:t>
            </w:r>
          </w:p>
        </w:tc>
      </w:tr>
      <w:tr w:rsidR="00D279BD" w:rsidRPr="00D279BD" w14:paraId="6E9D807D" w14:textId="77777777" w:rsidTr="00FB23EA">
        <w:trPr>
          <w:trHeight w:val="300"/>
          <w:jc w:val="right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8088" w14:textId="77777777" w:rsidR="00D279BD" w:rsidRPr="0028291E" w:rsidRDefault="00D279BD" w:rsidP="00D279B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1D7B8" w14:textId="1A4E0151" w:rsidR="00D279BD" w:rsidRDefault="00FB23EA" w:rsidP="00D279BD">
            <w:pPr>
              <w:spacing w:after="0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Cambria" w:hAnsi="Cambria" w:cs="Calibri"/>
              </w:rPr>
              <w:t>Ģeotelpiskie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izpildmērījumi</w:t>
            </w:r>
            <w:proofErr w:type="spellEnd"/>
            <w:r>
              <w:rPr>
                <w:rFonts w:ascii="Cambria" w:hAnsi="Cambria" w:cs="Calibri"/>
              </w:rPr>
              <w:t>.</w:t>
            </w:r>
          </w:p>
        </w:tc>
      </w:tr>
      <w:bookmarkEnd w:id="0"/>
      <w:tr w:rsidR="00D279BD" w:rsidRPr="00D53D31" w14:paraId="586E9454" w14:textId="77777777" w:rsidTr="00FB23EA">
        <w:trPr>
          <w:trHeight w:val="300"/>
          <w:jc w:val="right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690AAC7" w14:textId="77777777" w:rsidR="00D279BD" w:rsidRPr="0028291E" w:rsidRDefault="00D279BD" w:rsidP="00D279B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32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F4625E" w14:textId="77777777" w:rsidR="00D279BD" w:rsidRPr="005D00E3" w:rsidRDefault="00D279BD" w:rsidP="00211C6B">
            <w:pPr>
              <w:spacing w:after="0"/>
              <w:rPr>
                <w:rFonts w:eastAsia="Times New Roman" w:cs="Times New Roman"/>
                <w:i/>
                <w:iCs/>
                <w:sz w:val="24"/>
                <w:szCs w:val="24"/>
                <w:lang w:val="lv-LV"/>
              </w:rPr>
            </w:pPr>
            <w:r w:rsidRPr="005D00E3">
              <w:rPr>
                <w:rFonts w:eastAsia="Times New Roman" w:cs="Times New Roman"/>
                <w:i/>
                <w:iCs/>
                <w:sz w:val="24"/>
                <w:szCs w:val="24"/>
                <w:lang w:val="lv-LV"/>
              </w:rPr>
              <w:t>Vispārīgie būvniecības darbi</w:t>
            </w:r>
          </w:p>
        </w:tc>
      </w:tr>
      <w:tr w:rsidR="00D279BD" w:rsidRPr="004A6166" w14:paraId="4ACDD186" w14:textId="77777777" w:rsidTr="00FB23EA">
        <w:trPr>
          <w:trHeight w:val="300"/>
          <w:jc w:val="right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2EBD" w14:textId="77777777" w:rsidR="00D279BD" w:rsidRPr="00C66C04" w:rsidRDefault="00D279BD" w:rsidP="00D279B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C26E" w14:textId="4B493BE0" w:rsidR="00D279BD" w:rsidRDefault="00025536" w:rsidP="00025536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lang w:val="lv-LV"/>
              </w:rPr>
              <w:t>Būvlaukuma nožogojuma uzstādīšana (mobilizācija/demobilizācija);</w:t>
            </w:r>
          </w:p>
        </w:tc>
      </w:tr>
      <w:tr w:rsidR="00D279BD" w:rsidRPr="00A42F1B" w14:paraId="445CA745" w14:textId="77777777" w:rsidTr="00FB23EA">
        <w:trPr>
          <w:trHeight w:val="300"/>
          <w:jc w:val="right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DA2B" w14:textId="77777777" w:rsidR="00D279BD" w:rsidRPr="00C66C04" w:rsidRDefault="00D279BD" w:rsidP="00D279B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9150" w14:textId="77777777" w:rsidR="00D279BD" w:rsidRDefault="00D279BD" w:rsidP="00211C6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  <w:t>Būvgružu savākšana un utilizācija;</w:t>
            </w:r>
          </w:p>
        </w:tc>
      </w:tr>
      <w:tr w:rsidR="00D279BD" w:rsidRPr="00A42F1B" w14:paraId="016790B6" w14:textId="77777777" w:rsidTr="00FB23EA">
        <w:trPr>
          <w:trHeight w:val="300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C9A0" w14:textId="77777777" w:rsidR="00D279BD" w:rsidRPr="0028291E" w:rsidRDefault="00D279BD" w:rsidP="00D279BD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C483" w14:textId="77777777" w:rsidR="00D279BD" w:rsidRPr="005A0179" w:rsidRDefault="00D279BD" w:rsidP="00211C6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  <w:t>Teritorijas labiekārtošana pēc būvdarbiem.</w:t>
            </w:r>
          </w:p>
        </w:tc>
      </w:tr>
    </w:tbl>
    <w:p w14:paraId="3B05F1AE" w14:textId="77777777" w:rsidR="00D279BD" w:rsidRDefault="00D279BD" w:rsidP="00D279BD">
      <w:pPr>
        <w:pStyle w:val="ListParagraph"/>
        <w:spacing w:line="360" w:lineRule="auto"/>
        <w:ind w:left="360"/>
        <w:rPr>
          <w:rFonts w:cs="Times New Roman"/>
          <w:b/>
          <w:sz w:val="24"/>
          <w:szCs w:val="24"/>
          <w:lang w:val="lv-LV"/>
        </w:rPr>
      </w:pPr>
    </w:p>
    <w:p w14:paraId="42A86861" w14:textId="0F495708" w:rsidR="007520C6" w:rsidRDefault="00D15F9E" w:rsidP="007520C6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  <w:b/>
          <w:sz w:val="24"/>
          <w:szCs w:val="24"/>
          <w:lang w:val="lv-LV"/>
        </w:rPr>
      </w:pPr>
      <w:r>
        <w:rPr>
          <w:rFonts w:cs="Times New Roman"/>
          <w:b/>
          <w:sz w:val="24"/>
          <w:szCs w:val="24"/>
          <w:lang w:val="lv-LV"/>
        </w:rPr>
        <w:t>Prasības attiecībā</w:t>
      </w:r>
      <w:r w:rsidR="007520C6">
        <w:rPr>
          <w:rFonts w:cs="Times New Roman"/>
          <w:b/>
          <w:sz w:val="24"/>
          <w:szCs w:val="24"/>
          <w:lang w:val="lv-LV"/>
        </w:rPr>
        <w:t xml:space="preserve"> uz </w:t>
      </w:r>
      <w:r>
        <w:rPr>
          <w:rFonts w:cs="Times New Roman"/>
          <w:b/>
          <w:sz w:val="24"/>
          <w:szCs w:val="24"/>
          <w:lang w:val="lv-LV"/>
        </w:rPr>
        <w:t>izpild</w:t>
      </w:r>
      <w:r w:rsidR="007520C6">
        <w:rPr>
          <w:rFonts w:cs="Times New Roman"/>
          <w:b/>
          <w:sz w:val="24"/>
          <w:szCs w:val="24"/>
          <w:lang w:val="lv-LV"/>
        </w:rPr>
        <w:t>dokumentācijas izstrādi.</w:t>
      </w:r>
    </w:p>
    <w:tbl>
      <w:tblPr>
        <w:tblW w:w="9910" w:type="dxa"/>
        <w:jc w:val="right"/>
        <w:tblLayout w:type="fixed"/>
        <w:tblLook w:val="04A0" w:firstRow="1" w:lastRow="0" w:firstColumn="1" w:lastColumn="0" w:noHBand="0" w:noVBand="1"/>
      </w:tblPr>
      <w:tblGrid>
        <w:gridCol w:w="1413"/>
        <w:gridCol w:w="8497"/>
      </w:tblGrid>
      <w:tr w:rsidR="007520C6" w:rsidRPr="009327B5" w14:paraId="4D0B39F8" w14:textId="77777777" w:rsidTr="00211C6B">
        <w:trPr>
          <w:trHeight w:val="30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B2F0A5E" w14:textId="77777777" w:rsidR="007520C6" w:rsidRPr="00FD1615" w:rsidRDefault="007520C6" w:rsidP="007520C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32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6AD9A75" w14:textId="255FCF48" w:rsidR="007520C6" w:rsidRPr="009327B5" w:rsidRDefault="007520C6" w:rsidP="00211C6B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  <w:t>Pirms darbu veikšanas:</w:t>
            </w:r>
          </w:p>
        </w:tc>
      </w:tr>
      <w:tr w:rsidR="007520C6" w:rsidRPr="004A6166" w14:paraId="4CE459F2" w14:textId="77777777" w:rsidTr="00211C6B">
        <w:trPr>
          <w:trHeight w:val="600"/>
          <w:jc w:val="righ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B32A" w14:textId="77777777" w:rsidR="007520C6" w:rsidRPr="000C55EB" w:rsidRDefault="007520C6" w:rsidP="007520C6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2475" w14:textId="6DDA4194" w:rsidR="007520C6" w:rsidRPr="000C55EB" w:rsidRDefault="007520C6" w:rsidP="007520C6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  <w:t>Izstrādāt un saskaņot ar SIA “LatRosTrans” darbu veikšanas projektu, t. sk. d</w:t>
            </w:r>
            <w:r w:rsidRPr="000C55EB"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  <w:t>arbu veikšanas kalendāra grafiku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  <w:t xml:space="preserve">, </w:t>
            </w:r>
            <w:r w:rsidRPr="000C55EB"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  <w:t>sagatavoš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  <w:t xml:space="preserve">anas darbu un būvdarbu aprakstu, </w:t>
            </w:r>
            <w:r w:rsidRPr="000C55EB"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  <w:t>nepieciešamo speciālistu sara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  <w:t>kstu darbu veikšanai būvobjektā, darba aizsardzības,</w:t>
            </w:r>
            <w:r w:rsidRPr="000C55EB"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  <w:t xml:space="preserve"> ražošanas higiēnas un ugunsdrošības pasākumu te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  <w:t>hniskos risinājumus,</w:t>
            </w:r>
            <w:r w:rsidRPr="000C55EB">
              <w:rPr>
                <w:lang w:val="lv-LV"/>
              </w:rPr>
              <w:t xml:space="preserve"> </w:t>
            </w:r>
            <w:r w:rsidRPr="000C55EB"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  <w:t>būvizstrādājumu transportēšanas nosacījumus un to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  <w:t xml:space="preserve"> novietošanas vietas būvlaukumā;</w:t>
            </w:r>
          </w:p>
        </w:tc>
      </w:tr>
      <w:tr w:rsidR="007520C6" w:rsidRPr="004A6166" w14:paraId="1BA58E9F" w14:textId="77777777" w:rsidTr="00211C6B">
        <w:trPr>
          <w:trHeight w:val="600"/>
          <w:jc w:val="righ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B70A7" w14:textId="77777777" w:rsidR="007520C6" w:rsidRPr="000C55EB" w:rsidRDefault="007520C6" w:rsidP="007520C6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AB69" w14:textId="77777777" w:rsidR="007520C6" w:rsidRDefault="007520C6" w:rsidP="00211C6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lv-LV"/>
              </w:rPr>
              <w:t>Paredzēt darba aizsardzības koordinatora norīkošanu, darba aizsardzības plāna izstrādi un iesniegšanu SIA “LatRosTrans” izskatīšanai. Nepieciešamības gadījumā ir jānodrošina Valsts darba inspekcijai paziņojuma nosūtīšana par būvdarbu veikšanu.</w:t>
            </w:r>
          </w:p>
        </w:tc>
      </w:tr>
      <w:tr w:rsidR="007520C6" w:rsidRPr="00ED4564" w14:paraId="38E23CB5" w14:textId="77777777" w:rsidTr="00211C6B">
        <w:trPr>
          <w:trHeight w:val="300"/>
          <w:jc w:val="righ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95D3B6F" w14:textId="77777777" w:rsidR="007520C6" w:rsidRPr="000C55EB" w:rsidRDefault="007520C6" w:rsidP="007520C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32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8BDEAB7" w14:textId="462F74F3" w:rsidR="007520C6" w:rsidRPr="009327B5" w:rsidRDefault="007520C6" w:rsidP="0092459C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  <w:t>Izpilddokumentācija</w:t>
            </w:r>
            <w:r w:rsidR="0092459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  <w:t xml:space="preserve"> būvniecības informācijas sistēmā </w:t>
            </w:r>
          </w:p>
        </w:tc>
      </w:tr>
      <w:tr w:rsidR="007520C6" w:rsidRPr="00ED4564" w14:paraId="2F7A25C6" w14:textId="77777777" w:rsidTr="00211C6B">
        <w:trPr>
          <w:trHeight w:val="236"/>
          <w:jc w:val="righ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B781" w14:textId="77777777" w:rsidR="007520C6" w:rsidRPr="00637A21" w:rsidRDefault="007520C6" w:rsidP="007520C6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C234" w14:textId="77777777" w:rsidR="007520C6" w:rsidRPr="00637A21" w:rsidRDefault="007520C6" w:rsidP="00211C6B">
            <w:pPr>
              <w:spacing w:after="0"/>
              <w:rPr>
                <w:rFonts w:eastAsia="Times New Roman" w:cs="Times New Roman"/>
                <w:sz w:val="24"/>
                <w:szCs w:val="24"/>
                <w:lang w:val="lv-LV"/>
              </w:rPr>
            </w:pPr>
            <w:r w:rsidRPr="00637A21">
              <w:rPr>
                <w:rFonts w:eastAsia="Times New Roman" w:cs="Times New Roman"/>
                <w:sz w:val="24"/>
                <w:szCs w:val="24"/>
                <w:lang w:val="lv-LV"/>
              </w:rPr>
              <w:t>Būvdarbu žurnāls</w:t>
            </w:r>
            <w:r>
              <w:rPr>
                <w:rFonts w:eastAsia="Times New Roman" w:cs="Times New Roman"/>
                <w:sz w:val="24"/>
                <w:szCs w:val="24"/>
                <w:lang w:val="lv-LV"/>
              </w:rPr>
              <w:t>;</w:t>
            </w:r>
          </w:p>
        </w:tc>
      </w:tr>
      <w:tr w:rsidR="007520C6" w:rsidRPr="00D411BB" w14:paraId="79B86062" w14:textId="77777777" w:rsidTr="00211C6B">
        <w:trPr>
          <w:trHeight w:val="315"/>
          <w:jc w:val="righ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F172" w14:textId="77777777" w:rsidR="007520C6" w:rsidRPr="00637A21" w:rsidRDefault="007520C6" w:rsidP="007520C6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9E6B" w14:textId="24F70C44" w:rsidR="007520C6" w:rsidRPr="00637A21" w:rsidRDefault="00D411BB" w:rsidP="00D411BB">
            <w:pPr>
              <w:spacing w:after="0"/>
              <w:rPr>
                <w:rFonts w:eastAsia="Times New Roman" w:cs="Times New Roman"/>
                <w:sz w:val="24"/>
                <w:szCs w:val="24"/>
                <w:lang w:val="lv-LV"/>
              </w:rPr>
            </w:pPr>
            <w:r>
              <w:rPr>
                <w:rFonts w:cs="Times New Roman"/>
                <w:sz w:val="24"/>
                <w:szCs w:val="24"/>
                <w:lang w:val="lv-LV"/>
              </w:rPr>
              <w:t>Segto darbu pieņemšanas akti</w:t>
            </w:r>
            <w:r w:rsidR="007520C6">
              <w:rPr>
                <w:rFonts w:cs="Times New Roman"/>
                <w:sz w:val="24"/>
                <w:szCs w:val="24"/>
                <w:lang w:val="lv-LV"/>
              </w:rPr>
              <w:t>;</w:t>
            </w:r>
          </w:p>
        </w:tc>
      </w:tr>
      <w:tr w:rsidR="00D411BB" w:rsidRPr="00D411BB" w14:paraId="3D5A5664" w14:textId="77777777" w:rsidTr="00211C6B">
        <w:trPr>
          <w:trHeight w:val="315"/>
          <w:jc w:val="righ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4110" w14:textId="77777777" w:rsidR="00D411BB" w:rsidRPr="00637A21" w:rsidRDefault="00D411BB" w:rsidP="007520C6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BFA7" w14:textId="3A3C8456" w:rsidR="00D411BB" w:rsidRPr="00637A21" w:rsidRDefault="00D411BB" w:rsidP="007520C6">
            <w:pPr>
              <w:spacing w:after="0"/>
              <w:rPr>
                <w:rFonts w:cs="Times New Roman"/>
                <w:sz w:val="24"/>
                <w:szCs w:val="24"/>
                <w:lang w:val="lv-LV"/>
              </w:rPr>
            </w:pPr>
            <w:r>
              <w:rPr>
                <w:rFonts w:cs="Times New Roman"/>
                <w:sz w:val="24"/>
                <w:szCs w:val="24"/>
                <w:lang w:val="lv-LV"/>
              </w:rPr>
              <w:t xml:space="preserve">Inženierbūves </w:t>
            </w:r>
            <w:proofErr w:type="spellStart"/>
            <w:r>
              <w:rPr>
                <w:rFonts w:cs="Times New Roman"/>
                <w:sz w:val="24"/>
                <w:szCs w:val="24"/>
                <w:lang w:val="lv-LV"/>
              </w:rPr>
              <w:t>izpildmērījumu</w:t>
            </w:r>
            <w:proofErr w:type="spellEnd"/>
            <w:r>
              <w:rPr>
                <w:rFonts w:cs="Times New Roman"/>
                <w:sz w:val="24"/>
                <w:szCs w:val="24"/>
                <w:lang w:val="lv-LV"/>
              </w:rPr>
              <w:t xml:space="preserve"> plāns;</w:t>
            </w:r>
          </w:p>
        </w:tc>
      </w:tr>
      <w:tr w:rsidR="00D411BB" w:rsidRPr="00D411BB" w14:paraId="16877392" w14:textId="77777777" w:rsidTr="00211C6B">
        <w:trPr>
          <w:trHeight w:val="315"/>
          <w:jc w:val="righ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5ED2" w14:textId="77777777" w:rsidR="00D411BB" w:rsidRPr="00637A21" w:rsidRDefault="00D411BB" w:rsidP="007520C6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8F5B" w14:textId="656975E3" w:rsidR="00D411BB" w:rsidRPr="00637A21" w:rsidRDefault="00D411BB" w:rsidP="007520C6">
            <w:pPr>
              <w:spacing w:after="0"/>
              <w:rPr>
                <w:rFonts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lv-LV"/>
              </w:rPr>
              <w:t>Izpildshēmas</w:t>
            </w:r>
            <w:proofErr w:type="spellEnd"/>
            <w:r>
              <w:rPr>
                <w:rFonts w:cs="Times New Roman"/>
                <w:sz w:val="24"/>
                <w:szCs w:val="24"/>
                <w:lang w:val="lv-LV"/>
              </w:rPr>
              <w:t>;</w:t>
            </w:r>
          </w:p>
        </w:tc>
      </w:tr>
      <w:tr w:rsidR="007520C6" w:rsidRPr="004A6166" w14:paraId="37CF96F9" w14:textId="77777777" w:rsidTr="00211C6B">
        <w:trPr>
          <w:trHeight w:val="315"/>
          <w:jc w:val="righ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96EC" w14:textId="77777777" w:rsidR="007520C6" w:rsidRPr="00637A21" w:rsidRDefault="007520C6" w:rsidP="007520C6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B75F" w14:textId="7E355E94" w:rsidR="007520C6" w:rsidRPr="00637A21" w:rsidRDefault="007520C6" w:rsidP="007520C6">
            <w:pPr>
              <w:spacing w:after="0"/>
              <w:rPr>
                <w:rFonts w:cs="Times New Roman"/>
                <w:sz w:val="24"/>
                <w:szCs w:val="24"/>
                <w:lang w:val="lv-LV"/>
              </w:rPr>
            </w:pPr>
            <w:r w:rsidRPr="00637A21">
              <w:rPr>
                <w:rFonts w:cs="Times New Roman"/>
                <w:sz w:val="24"/>
                <w:szCs w:val="24"/>
                <w:lang w:val="lv-LV"/>
              </w:rPr>
              <w:t>Atzinum</w:t>
            </w:r>
            <w:r>
              <w:rPr>
                <w:rFonts w:cs="Times New Roman"/>
                <w:sz w:val="24"/>
                <w:szCs w:val="24"/>
                <w:lang w:val="lv-LV"/>
              </w:rPr>
              <w:t>u saņemšana</w:t>
            </w:r>
            <w:r w:rsidRPr="00637A21">
              <w:rPr>
                <w:rFonts w:cs="Times New Roman"/>
                <w:sz w:val="24"/>
                <w:szCs w:val="24"/>
                <w:lang w:val="lv-LV"/>
              </w:rPr>
              <w:t xml:space="preserve"> no </w:t>
            </w:r>
            <w:r>
              <w:rPr>
                <w:rFonts w:cs="Times New Roman"/>
                <w:sz w:val="24"/>
                <w:szCs w:val="24"/>
                <w:lang w:val="lv-LV"/>
              </w:rPr>
              <w:t>institūcijām, kas izsniegušas tehniskos noteikums (skatīt būvprojektu);</w:t>
            </w:r>
          </w:p>
        </w:tc>
      </w:tr>
      <w:tr w:rsidR="007520C6" w:rsidRPr="004A6166" w14:paraId="1352E192" w14:textId="77777777" w:rsidTr="00211C6B">
        <w:trPr>
          <w:trHeight w:val="300"/>
          <w:jc w:val="righ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91AB" w14:textId="77777777" w:rsidR="007520C6" w:rsidRPr="00637A21" w:rsidRDefault="007520C6" w:rsidP="007520C6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1922" w:hanging="1184"/>
              <w:jc w:val="center"/>
              <w:rPr>
                <w:rFonts w:eastAsia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2456" w14:textId="6636FE94" w:rsidR="007520C6" w:rsidRPr="00637A21" w:rsidRDefault="007520C6" w:rsidP="00A75874">
            <w:pPr>
              <w:spacing w:after="0"/>
              <w:rPr>
                <w:rFonts w:eastAsia="Times New Roman" w:cs="Times New Roman"/>
                <w:sz w:val="24"/>
                <w:szCs w:val="24"/>
                <w:lang w:val="lv-LV"/>
              </w:rPr>
            </w:pPr>
            <w:r w:rsidRPr="00637A21">
              <w:rPr>
                <w:rFonts w:eastAsia="Times New Roman" w:cs="Times New Roman"/>
                <w:sz w:val="24"/>
                <w:szCs w:val="24"/>
                <w:lang w:val="lv-LV"/>
              </w:rPr>
              <w:t xml:space="preserve">Iebūvēto būvizstrādājumu un </w:t>
            </w:r>
            <w:r>
              <w:rPr>
                <w:rFonts w:eastAsia="Times New Roman" w:cs="Times New Roman"/>
                <w:sz w:val="24"/>
                <w:szCs w:val="24"/>
                <w:lang w:val="lv-LV"/>
              </w:rPr>
              <w:t>tehnoloģisko iekārtu</w:t>
            </w:r>
            <w:r w:rsidRPr="00637A21">
              <w:rPr>
                <w:rFonts w:eastAsia="Times New Roman" w:cs="Times New Roman"/>
                <w:sz w:val="24"/>
                <w:szCs w:val="24"/>
                <w:lang w:val="lv-LV"/>
              </w:rPr>
              <w:t xml:space="preserve"> atbilstību</w:t>
            </w:r>
            <w:r>
              <w:rPr>
                <w:rFonts w:eastAsia="Times New Roman" w:cs="Times New Roman"/>
                <w:sz w:val="24"/>
                <w:szCs w:val="24"/>
                <w:lang w:val="lv-LV"/>
              </w:rPr>
              <w:t xml:space="preserve"> apliecinošās</w:t>
            </w:r>
            <w:r w:rsidRPr="00637A21">
              <w:rPr>
                <w:rFonts w:eastAsia="Times New Roman" w:cs="Times New Roman"/>
                <w:sz w:val="24"/>
                <w:szCs w:val="24"/>
                <w:lang w:val="lv-LV"/>
              </w:rPr>
              <w:t xml:space="preserve"> dokumentācija</w:t>
            </w:r>
            <w:r>
              <w:rPr>
                <w:rFonts w:eastAsia="Times New Roman" w:cs="Times New Roman"/>
                <w:sz w:val="24"/>
                <w:szCs w:val="24"/>
                <w:lang w:val="lv-LV"/>
              </w:rPr>
              <w:t>s sagatavošana</w:t>
            </w:r>
            <w:r w:rsidR="00A75874">
              <w:rPr>
                <w:rFonts w:eastAsia="Times New Roman" w:cs="Times New Roman"/>
                <w:sz w:val="24"/>
                <w:szCs w:val="24"/>
                <w:lang w:val="lv-LV"/>
              </w:rPr>
              <w:t xml:space="preserve"> (</w:t>
            </w:r>
            <w:r w:rsidR="00A75874">
              <w:rPr>
                <w:rFonts w:cs="Times New Roman"/>
                <w:sz w:val="24"/>
                <w:szCs w:val="24"/>
                <w:lang w:val="lv-LV"/>
              </w:rPr>
              <w:t>materiālu ekspluatācijas īpašību deklarācijas un sertifikāti).</w:t>
            </w:r>
          </w:p>
        </w:tc>
      </w:tr>
    </w:tbl>
    <w:p w14:paraId="7ABF8032" w14:textId="77777777" w:rsidR="007520C6" w:rsidRPr="00A202A2" w:rsidRDefault="007520C6" w:rsidP="00A202A2">
      <w:pPr>
        <w:spacing w:line="360" w:lineRule="auto"/>
        <w:rPr>
          <w:rFonts w:cs="Times New Roman"/>
          <w:b/>
          <w:sz w:val="24"/>
          <w:szCs w:val="24"/>
          <w:lang w:val="lv-LV"/>
        </w:rPr>
      </w:pPr>
    </w:p>
    <w:p w14:paraId="25229165" w14:textId="4EF86F02" w:rsidR="00BF676F" w:rsidRPr="00744EB1" w:rsidRDefault="003468F7" w:rsidP="00744EB1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b/>
          <w:sz w:val="24"/>
          <w:szCs w:val="24"/>
          <w:lang w:val="lv-LV"/>
        </w:rPr>
      </w:pPr>
      <w:r>
        <w:rPr>
          <w:rFonts w:cs="Times New Roman"/>
          <w:b/>
          <w:sz w:val="24"/>
          <w:szCs w:val="24"/>
          <w:lang w:val="lv-LV"/>
        </w:rPr>
        <w:t>Būvdarbu</w:t>
      </w:r>
      <w:r w:rsidR="00927D7B" w:rsidRPr="00324824">
        <w:rPr>
          <w:rFonts w:cs="Times New Roman"/>
          <w:b/>
          <w:sz w:val="24"/>
          <w:szCs w:val="24"/>
          <w:lang w:val="lv-LV"/>
        </w:rPr>
        <w:t xml:space="preserve"> sākumdati:</w:t>
      </w:r>
    </w:p>
    <w:p w14:paraId="03A7AEA7" w14:textId="4BF0AB95" w:rsidR="00A202A2" w:rsidRPr="00A202A2" w:rsidRDefault="006D246E" w:rsidP="00A202A2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2021. gada 12</w:t>
      </w:r>
      <w:r w:rsidR="00480623" w:rsidRPr="00A202A2">
        <w:rPr>
          <w:rFonts w:cs="Times New Roman"/>
          <w:sz w:val="24"/>
          <w:szCs w:val="24"/>
          <w:lang w:val="lv-LV"/>
        </w:rPr>
        <w:t xml:space="preserve">. </w:t>
      </w:r>
      <w:r>
        <w:rPr>
          <w:rFonts w:cs="Times New Roman"/>
          <w:sz w:val="24"/>
          <w:szCs w:val="24"/>
          <w:lang w:val="lv-LV"/>
        </w:rPr>
        <w:t>janvāra</w:t>
      </w:r>
      <w:r w:rsidR="00480623" w:rsidRPr="00A202A2">
        <w:rPr>
          <w:rFonts w:cs="Times New Roman"/>
          <w:sz w:val="24"/>
          <w:szCs w:val="24"/>
          <w:lang w:val="lv-LV"/>
        </w:rPr>
        <w:t xml:space="preserve"> </w:t>
      </w:r>
      <w:r w:rsidR="00480623">
        <w:rPr>
          <w:rFonts w:cs="Times New Roman"/>
          <w:sz w:val="24"/>
          <w:szCs w:val="24"/>
          <w:lang w:val="lv-LV"/>
        </w:rPr>
        <w:t>b</w:t>
      </w:r>
      <w:r>
        <w:rPr>
          <w:rFonts w:cs="Times New Roman"/>
          <w:sz w:val="24"/>
          <w:szCs w:val="24"/>
          <w:lang w:val="lv-LV"/>
        </w:rPr>
        <w:t>ūvniecības lieta Nr. BIS-BL</w:t>
      </w:r>
      <w:r w:rsidR="00A202A2" w:rsidRPr="00A202A2">
        <w:rPr>
          <w:rFonts w:cs="Times New Roman"/>
          <w:sz w:val="24"/>
          <w:szCs w:val="24"/>
          <w:lang w:val="lv-LV"/>
        </w:rPr>
        <w:t>-</w:t>
      </w:r>
      <w:r>
        <w:rPr>
          <w:rFonts w:cs="Times New Roman"/>
          <w:sz w:val="24"/>
          <w:szCs w:val="24"/>
          <w:lang w:val="lv-LV"/>
        </w:rPr>
        <w:t>232976-4535</w:t>
      </w:r>
      <w:r w:rsidR="00A202A2" w:rsidRPr="00A202A2">
        <w:rPr>
          <w:rFonts w:cs="Times New Roman"/>
          <w:sz w:val="24"/>
          <w:szCs w:val="24"/>
          <w:lang w:val="lv-LV"/>
        </w:rPr>
        <w:t>;</w:t>
      </w:r>
    </w:p>
    <w:p w14:paraId="2BC7828F" w14:textId="21588363" w:rsidR="003468F7" w:rsidRDefault="00A202A2" w:rsidP="003E394A">
      <w:pPr>
        <w:pStyle w:val="ListParagraph"/>
        <w:numPr>
          <w:ilvl w:val="1"/>
          <w:numId w:val="2"/>
        </w:numPr>
        <w:jc w:val="both"/>
        <w:rPr>
          <w:rFonts w:cs="Times New Roman"/>
          <w:sz w:val="24"/>
          <w:szCs w:val="24"/>
          <w:lang w:val="lv-LV"/>
        </w:rPr>
      </w:pPr>
      <w:r w:rsidRPr="00A202A2">
        <w:rPr>
          <w:rFonts w:cs="Times New Roman"/>
          <w:sz w:val="24"/>
          <w:szCs w:val="24"/>
          <w:lang w:val="lv-LV"/>
        </w:rPr>
        <w:t>SIA “</w:t>
      </w:r>
      <w:r w:rsidR="006C4A88">
        <w:rPr>
          <w:rFonts w:cs="Times New Roman"/>
          <w:sz w:val="24"/>
          <w:szCs w:val="24"/>
          <w:lang w:val="lv-LV"/>
        </w:rPr>
        <w:t>Rumba projekts</w:t>
      </w:r>
      <w:r w:rsidRPr="00A202A2">
        <w:rPr>
          <w:rFonts w:cs="Times New Roman"/>
          <w:sz w:val="24"/>
          <w:szCs w:val="24"/>
          <w:lang w:val="lv-LV"/>
        </w:rPr>
        <w:t>” 20</w:t>
      </w:r>
      <w:r w:rsidR="006C4A88">
        <w:rPr>
          <w:rFonts w:cs="Times New Roman"/>
          <w:sz w:val="24"/>
          <w:szCs w:val="24"/>
          <w:lang w:val="lv-LV"/>
        </w:rPr>
        <w:t>20</w:t>
      </w:r>
      <w:r w:rsidRPr="00A202A2">
        <w:rPr>
          <w:rFonts w:cs="Times New Roman"/>
          <w:sz w:val="24"/>
          <w:szCs w:val="24"/>
          <w:lang w:val="lv-LV"/>
        </w:rPr>
        <w:t>. gadā izstrādātais būvprojekts (saņemams no Pasūtītāja pēc pieprasījuma).</w:t>
      </w:r>
    </w:p>
    <w:p w14:paraId="4F278344" w14:textId="77777777" w:rsidR="003468F7" w:rsidRPr="003468F7" w:rsidRDefault="003468F7" w:rsidP="003468F7">
      <w:pPr>
        <w:pStyle w:val="ListParagraph"/>
        <w:ind w:left="792"/>
        <w:rPr>
          <w:rFonts w:cs="Times New Roman"/>
          <w:sz w:val="24"/>
          <w:szCs w:val="24"/>
          <w:lang w:val="lv-LV"/>
        </w:rPr>
      </w:pPr>
    </w:p>
    <w:p w14:paraId="4375A472" w14:textId="0CD44117" w:rsidR="00BF676F" w:rsidRPr="00BF676F" w:rsidRDefault="00BF676F" w:rsidP="00773137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  <w:b/>
          <w:sz w:val="24"/>
          <w:szCs w:val="24"/>
          <w:lang w:val="lv-LV"/>
        </w:rPr>
      </w:pPr>
      <w:r w:rsidRPr="00BF676F">
        <w:rPr>
          <w:rFonts w:cs="Times New Roman"/>
          <w:b/>
          <w:sz w:val="24"/>
          <w:szCs w:val="24"/>
          <w:lang w:val="lv-LV"/>
        </w:rPr>
        <w:lastRenderedPageBreak/>
        <w:t>Vispārējie norādījumi</w:t>
      </w:r>
      <w:r w:rsidR="00142D2C">
        <w:rPr>
          <w:rFonts w:cs="Times New Roman"/>
          <w:b/>
          <w:sz w:val="24"/>
          <w:szCs w:val="24"/>
          <w:lang w:val="lv-LV"/>
        </w:rPr>
        <w:t>:</w:t>
      </w:r>
      <w:r w:rsidRPr="00BF676F">
        <w:rPr>
          <w:rFonts w:cs="Times New Roman"/>
          <w:b/>
          <w:sz w:val="24"/>
          <w:szCs w:val="24"/>
          <w:lang w:val="lv-LV"/>
        </w:rPr>
        <w:t xml:space="preserve"> </w:t>
      </w:r>
    </w:p>
    <w:p w14:paraId="13328069" w14:textId="3FBDF1F5" w:rsidR="00C557EB" w:rsidRDefault="00C557EB" w:rsidP="00773137">
      <w:pPr>
        <w:pStyle w:val="ListParagraph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 w:rsidRPr="00C557EB">
        <w:rPr>
          <w:rFonts w:cs="Times New Roman"/>
          <w:sz w:val="24"/>
          <w:szCs w:val="24"/>
          <w:lang w:val="lv-LV"/>
        </w:rPr>
        <w:t>Pirms finanšu piedāvājuma sastādīšanas</w:t>
      </w:r>
      <w:r w:rsidR="00480623">
        <w:rPr>
          <w:rFonts w:cs="Times New Roman"/>
          <w:sz w:val="24"/>
          <w:szCs w:val="24"/>
          <w:lang w:val="lv-LV"/>
        </w:rPr>
        <w:t xml:space="preserve"> vēlams </w:t>
      </w:r>
      <w:r w:rsidRPr="00C557EB">
        <w:rPr>
          <w:rFonts w:cs="Times New Roman"/>
          <w:sz w:val="24"/>
          <w:szCs w:val="24"/>
          <w:lang w:val="lv-LV"/>
        </w:rPr>
        <w:t>apmeklēt objek</w:t>
      </w:r>
      <w:r>
        <w:rPr>
          <w:rFonts w:cs="Times New Roman"/>
          <w:sz w:val="24"/>
          <w:szCs w:val="24"/>
          <w:lang w:val="lv-LV"/>
        </w:rPr>
        <w:t xml:space="preserve">tu, </w:t>
      </w:r>
      <w:r w:rsidR="00F91142">
        <w:rPr>
          <w:rFonts w:cs="Times New Roman"/>
          <w:sz w:val="24"/>
          <w:szCs w:val="24"/>
          <w:lang w:val="lv-LV"/>
        </w:rPr>
        <w:t>iepazīties ar objekta ģeogrāfiskā izvietojuma īpatnībām un aizsargjoslām, ko objekts šķērso, kā arī novērtēt plānoj</w:t>
      </w:r>
      <w:r w:rsidR="00225A0D">
        <w:rPr>
          <w:rFonts w:cs="Times New Roman"/>
          <w:sz w:val="24"/>
          <w:szCs w:val="24"/>
          <w:lang w:val="lv-LV"/>
        </w:rPr>
        <w:t>amo saskaņojumu un darbu apjomu</w:t>
      </w:r>
      <w:r w:rsidR="00F949DE">
        <w:rPr>
          <w:rFonts w:cs="Times New Roman"/>
          <w:sz w:val="24"/>
          <w:szCs w:val="24"/>
          <w:lang w:val="lv-LV"/>
        </w:rPr>
        <w:t>;</w:t>
      </w:r>
    </w:p>
    <w:p w14:paraId="6D1D1894" w14:textId="3F34893D" w:rsidR="00480623" w:rsidRDefault="00480623" w:rsidP="00773137">
      <w:pPr>
        <w:pStyle w:val="ListParagraph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Pirms būvdarbu uzsākšanas jāsaņem SIA „</w:t>
      </w:r>
      <w:r w:rsidR="00E8464A" w:rsidRPr="00E8464A">
        <w:rPr>
          <w:rFonts w:cs="Times New Roman"/>
          <w:sz w:val="24"/>
          <w:szCs w:val="24"/>
          <w:lang w:val="lv-LV"/>
        </w:rPr>
        <w:t>LatRosTrans”</w:t>
      </w:r>
      <w:r>
        <w:rPr>
          <w:rFonts w:cs="Times New Roman"/>
          <w:sz w:val="24"/>
          <w:szCs w:val="24"/>
          <w:lang w:val="lv-LV"/>
        </w:rPr>
        <w:t xml:space="preserve"> atļauju būvdarbu veikšanai, </w:t>
      </w:r>
      <w:r w:rsidR="00E8464A" w:rsidRPr="00E8464A">
        <w:rPr>
          <w:rFonts w:cs="Times New Roman"/>
          <w:sz w:val="24"/>
          <w:szCs w:val="24"/>
          <w:lang w:val="lv-LV"/>
        </w:rPr>
        <w:t xml:space="preserve">kā arī </w:t>
      </w:r>
      <w:r>
        <w:rPr>
          <w:rFonts w:cs="Times New Roman"/>
          <w:sz w:val="24"/>
          <w:szCs w:val="24"/>
          <w:lang w:val="lv-LV"/>
        </w:rPr>
        <w:t xml:space="preserve">jāsaņem apliecinājums par būvdarbu uzsākšanas nosacīju izpildi no </w:t>
      </w:r>
      <w:r w:rsidR="00DE4012">
        <w:rPr>
          <w:rFonts w:cs="Times New Roman"/>
          <w:sz w:val="24"/>
          <w:szCs w:val="24"/>
          <w:lang w:val="lv-LV"/>
        </w:rPr>
        <w:t>Jelgavas novada</w:t>
      </w:r>
      <w:r w:rsidR="00225A0D">
        <w:rPr>
          <w:rFonts w:cs="Times New Roman"/>
          <w:sz w:val="24"/>
          <w:szCs w:val="24"/>
          <w:lang w:val="lv-LV"/>
        </w:rPr>
        <w:t xml:space="preserve"> </w:t>
      </w:r>
      <w:r w:rsidR="00E8464A" w:rsidRPr="00E8464A">
        <w:rPr>
          <w:rFonts w:cs="Times New Roman"/>
          <w:sz w:val="24"/>
          <w:szCs w:val="24"/>
          <w:lang w:val="lv-LV"/>
        </w:rPr>
        <w:t>būvvald</w:t>
      </w:r>
      <w:r>
        <w:rPr>
          <w:rFonts w:cs="Times New Roman"/>
          <w:sz w:val="24"/>
          <w:szCs w:val="24"/>
          <w:lang w:val="lv-LV"/>
        </w:rPr>
        <w:t>es</w:t>
      </w:r>
      <w:r w:rsidR="003E394A">
        <w:rPr>
          <w:rFonts w:cs="Times New Roman"/>
          <w:sz w:val="24"/>
          <w:szCs w:val="24"/>
          <w:lang w:val="lv-LV"/>
        </w:rPr>
        <w:t>;</w:t>
      </w:r>
    </w:p>
    <w:p w14:paraId="076FE011" w14:textId="3A65D8D0" w:rsidR="00E8464A" w:rsidRDefault="00F91142" w:rsidP="00773137">
      <w:pPr>
        <w:pStyle w:val="ListParagraph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Saskaņošanu ar zemes īpašniekiem</w:t>
      </w:r>
      <w:r w:rsidR="00E8464A" w:rsidRPr="00E8464A">
        <w:rPr>
          <w:rFonts w:cs="Times New Roman"/>
          <w:sz w:val="24"/>
          <w:szCs w:val="24"/>
          <w:lang w:val="lv-LV"/>
        </w:rPr>
        <w:t xml:space="preserve"> veic Pasūtītājs;</w:t>
      </w:r>
    </w:p>
    <w:p w14:paraId="08DCA801" w14:textId="56FD2D3A" w:rsidR="00142D2C" w:rsidRDefault="00480623" w:rsidP="00773137">
      <w:pPr>
        <w:pStyle w:val="ListParagraph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Būvuzraudzību un autoruzraudzību</w:t>
      </w:r>
      <w:r w:rsidR="003E394A">
        <w:rPr>
          <w:rFonts w:cs="Times New Roman"/>
          <w:sz w:val="24"/>
          <w:szCs w:val="24"/>
          <w:lang w:val="lv-LV"/>
        </w:rPr>
        <w:t xml:space="preserve"> nodrošina Pasūtītājs.</w:t>
      </w:r>
    </w:p>
    <w:p w14:paraId="3BF4670E" w14:textId="77777777" w:rsidR="00056F82" w:rsidRPr="00E8464A" w:rsidRDefault="00056F82" w:rsidP="00056F82">
      <w:pPr>
        <w:pStyle w:val="ListParagraph"/>
        <w:spacing w:line="276" w:lineRule="auto"/>
        <w:ind w:left="792"/>
        <w:jc w:val="both"/>
        <w:rPr>
          <w:rFonts w:cs="Times New Roman"/>
          <w:sz w:val="24"/>
          <w:szCs w:val="24"/>
          <w:lang w:val="lv-LV"/>
        </w:rPr>
      </w:pPr>
    </w:p>
    <w:p w14:paraId="56D356AE" w14:textId="7E225348" w:rsidR="00056F82" w:rsidRPr="00056F82" w:rsidRDefault="00056F82" w:rsidP="00056F82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  <w:b/>
          <w:sz w:val="24"/>
          <w:szCs w:val="24"/>
          <w:lang w:val="lv-LV"/>
        </w:rPr>
      </w:pPr>
      <w:r w:rsidRPr="00BF676F">
        <w:rPr>
          <w:rFonts w:cs="Times New Roman"/>
          <w:b/>
          <w:sz w:val="24"/>
          <w:szCs w:val="24"/>
          <w:lang w:val="lv-LV"/>
        </w:rPr>
        <w:t>Vispārējie norādījumi</w:t>
      </w:r>
      <w:r>
        <w:rPr>
          <w:rFonts w:cs="Times New Roman"/>
          <w:b/>
          <w:sz w:val="24"/>
          <w:szCs w:val="24"/>
          <w:lang w:val="lv-LV"/>
        </w:rPr>
        <w:t>:</w:t>
      </w:r>
      <w:r w:rsidRPr="00BF676F">
        <w:rPr>
          <w:rFonts w:cs="Times New Roman"/>
          <w:b/>
          <w:sz w:val="24"/>
          <w:szCs w:val="24"/>
          <w:lang w:val="lv-LV"/>
        </w:rPr>
        <w:t xml:space="preserve"> </w:t>
      </w:r>
    </w:p>
    <w:p w14:paraId="4420A5BE" w14:textId="74083FFE" w:rsidR="00E8464A" w:rsidRPr="00E8464A" w:rsidRDefault="003017A7" w:rsidP="00773137">
      <w:pPr>
        <w:pStyle w:val="ListParagraph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Būv</w:t>
      </w:r>
      <w:r w:rsidR="00480623">
        <w:rPr>
          <w:rFonts w:cs="Times New Roman"/>
          <w:sz w:val="24"/>
          <w:szCs w:val="24"/>
          <w:lang w:val="lv-LV"/>
        </w:rPr>
        <w:t>darbi jāveic saskaņā ar</w:t>
      </w:r>
      <w:r w:rsidR="00E8464A" w:rsidRPr="00E8464A">
        <w:rPr>
          <w:rFonts w:cs="Times New Roman"/>
          <w:sz w:val="24"/>
          <w:szCs w:val="24"/>
          <w:lang w:val="lv-LV"/>
        </w:rPr>
        <w:t xml:space="preserve">: </w:t>
      </w:r>
    </w:p>
    <w:p w14:paraId="338345BD" w14:textId="77777777" w:rsidR="00E8464A" w:rsidRPr="00E8464A" w:rsidRDefault="00E8464A" w:rsidP="00773137">
      <w:pPr>
        <w:pStyle w:val="ListParagraph"/>
        <w:numPr>
          <w:ilvl w:val="2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 w:rsidRPr="00E8464A">
        <w:rPr>
          <w:rFonts w:cs="Times New Roman"/>
          <w:sz w:val="24"/>
          <w:szCs w:val="24"/>
          <w:lang w:val="lv-LV"/>
        </w:rPr>
        <w:t xml:space="preserve">09.07.2013.g. Būvniecības likumu; </w:t>
      </w:r>
    </w:p>
    <w:p w14:paraId="4E68CF3F" w14:textId="77777777" w:rsidR="0043288B" w:rsidRDefault="00E8464A" w:rsidP="00773137">
      <w:pPr>
        <w:pStyle w:val="ListParagraph"/>
        <w:numPr>
          <w:ilvl w:val="2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 w:rsidRPr="00E8464A">
        <w:rPr>
          <w:rFonts w:cs="Times New Roman"/>
          <w:sz w:val="24"/>
          <w:szCs w:val="24"/>
          <w:lang w:val="lv-LV"/>
        </w:rPr>
        <w:t>19.08.2014.g. MK noteikumiem Nr.500 “Vispārīgie būvnoteikumi”;</w:t>
      </w:r>
    </w:p>
    <w:p w14:paraId="37FC2F62" w14:textId="77777777" w:rsidR="001124FB" w:rsidRDefault="0043288B" w:rsidP="00773137">
      <w:pPr>
        <w:pStyle w:val="ListParagraph"/>
        <w:numPr>
          <w:ilvl w:val="2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16.09.2014.g. MK noteikumiem Nr.551</w:t>
      </w:r>
      <w:r w:rsidRPr="00413EFD">
        <w:rPr>
          <w:rFonts w:cs="Times New Roman"/>
          <w:sz w:val="24"/>
          <w:szCs w:val="24"/>
          <w:lang w:val="lv-LV"/>
        </w:rPr>
        <w:t xml:space="preserve"> “</w:t>
      </w:r>
      <w:r>
        <w:rPr>
          <w:rFonts w:cs="Times New Roman"/>
          <w:sz w:val="24"/>
          <w:szCs w:val="24"/>
          <w:lang w:val="lv-LV"/>
        </w:rPr>
        <w:t>Ostu hidrotehnisko, siltumenerģijas, gāzes un citu, atsevišķi neklasificētu, inženierbūvju būvnoteikumi”</w:t>
      </w:r>
      <w:r w:rsidR="00E139D9">
        <w:rPr>
          <w:rFonts w:cs="Times New Roman"/>
          <w:sz w:val="24"/>
          <w:szCs w:val="24"/>
          <w:lang w:val="lv-LV"/>
        </w:rPr>
        <w:t>;</w:t>
      </w:r>
    </w:p>
    <w:p w14:paraId="4E1723B9" w14:textId="6C4E7CE6" w:rsidR="00E8464A" w:rsidRPr="00E8464A" w:rsidRDefault="001124FB" w:rsidP="001124FB">
      <w:pPr>
        <w:pStyle w:val="ListParagraph"/>
        <w:numPr>
          <w:ilvl w:val="2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09.05.2017. MK noteikumiem Nr. 253 “</w:t>
      </w:r>
      <w:r w:rsidRPr="001124FB">
        <w:rPr>
          <w:rFonts w:cs="Times New Roman"/>
          <w:sz w:val="24"/>
          <w:szCs w:val="24"/>
          <w:lang w:val="lv-LV"/>
        </w:rPr>
        <w:t>Atsevišķu inženierbūvju būvnoteikumi</w:t>
      </w:r>
      <w:r>
        <w:rPr>
          <w:rFonts w:cs="Times New Roman"/>
          <w:sz w:val="24"/>
          <w:szCs w:val="24"/>
          <w:lang w:val="lv-LV"/>
        </w:rPr>
        <w:t>”;</w:t>
      </w:r>
      <w:r w:rsidR="00E8464A" w:rsidRPr="00E8464A">
        <w:rPr>
          <w:rFonts w:cs="Times New Roman"/>
          <w:sz w:val="24"/>
          <w:szCs w:val="24"/>
          <w:lang w:val="lv-LV"/>
        </w:rPr>
        <w:t xml:space="preserve"> </w:t>
      </w:r>
    </w:p>
    <w:p w14:paraId="018F252E" w14:textId="761D4313" w:rsidR="00767553" w:rsidRPr="00767553" w:rsidRDefault="00767553" w:rsidP="00773137">
      <w:pPr>
        <w:pStyle w:val="ListParagraph"/>
        <w:numPr>
          <w:ilvl w:val="2"/>
          <w:numId w:val="2"/>
        </w:numPr>
        <w:spacing w:line="276" w:lineRule="auto"/>
        <w:jc w:val="both"/>
        <w:rPr>
          <w:rFonts w:cs="Times New Roman"/>
          <w:b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11.04.1997.g. LR “Aizsargjoslu likums”;</w:t>
      </w:r>
    </w:p>
    <w:p w14:paraId="1B3C5F35" w14:textId="47F8F5FD" w:rsidR="00767553" w:rsidRPr="000B337A" w:rsidRDefault="000B337A" w:rsidP="00773137">
      <w:pPr>
        <w:pStyle w:val="ListParagraph"/>
        <w:numPr>
          <w:ilvl w:val="2"/>
          <w:numId w:val="2"/>
        </w:numPr>
        <w:spacing w:line="276" w:lineRule="auto"/>
        <w:jc w:val="both"/>
        <w:rPr>
          <w:rFonts w:cs="Times New Roman"/>
          <w:b/>
          <w:sz w:val="24"/>
          <w:szCs w:val="24"/>
          <w:lang w:val="lv-LV"/>
        </w:rPr>
      </w:pPr>
      <w:r w:rsidRPr="000B337A">
        <w:rPr>
          <w:rFonts w:cs="Times New Roman"/>
          <w:sz w:val="24"/>
          <w:szCs w:val="24"/>
          <w:lang w:val="lv-LV"/>
        </w:rPr>
        <w:t xml:space="preserve">28.12.2004.g. </w:t>
      </w:r>
      <w:r>
        <w:rPr>
          <w:rFonts w:cs="Times New Roman"/>
          <w:sz w:val="24"/>
          <w:szCs w:val="24"/>
          <w:lang w:val="lv-LV"/>
        </w:rPr>
        <w:t>MK noteikumi Nr. 1069 “Noteikumi par ārējo inženierkomunikāciju izvietojumu pilsētās, ciemos un lauku teritorijās”;</w:t>
      </w:r>
    </w:p>
    <w:p w14:paraId="0B83524C" w14:textId="0F8BEDB0" w:rsidR="000B337A" w:rsidRPr="000B337A" w:rsidRDefault="000B337A" w:rsidP="00773137">
      <w:pPr>
        <w:pStyle w:val="ListParagraph"/>
        <w:numPr>
          <w:ilvl w:val="2"/>
          <w:numId w:val="2"/>
        </w:numPr>
        <w:spacing w:line="276" w:lineRule="auto"/>
        <w:jc w:val="both"/>
        <w:rPr>
          <w:rFonts w:cs="Times New Roman"/>
          <w:b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1</w:t>
      </w:r>
      <w:r w:rsidR="00E61816">
        <w:rPr>
          <w:rFonts w:cs="Times New Roman"/>
          <w:sz w:val="24"/>
          <w:szCs w:val="24"/>
          <w:lang w:val="lv-LV"/>
        </w:rPr>
        <w:t>9.04.2016</w:t>
      </w:r>
      <w:r>
        <w:rPr>
          <w:rFonts w:cs="Times New Roman"/>
          <w:sz w:val="24"/>
          <w:szCs w:val="24"/>
          <w:lang w:val="lv-LV"/>
        </w:rPr>
        <w:t>.g. MK noteikumi Nr.2</w:t>
      </w:r>
      <w:r w:rsidR="00E61816">
        <w:rPr>
          <w:rFonts w:cs="Times New Roman"/>
          <w:sz w:val="24"/>
          <w:szCs w:val="24"/>
          <w:lang w:val="lv-LV"/>
        </w:rPr>
        <w:t>38</w:t>
      </w:r>
      <w:r>
        <w:rPr>
          <w:rFonts w:cs="Times New Roman"/>
          <w:sz w:val="24"/>
          <w:szCs w:val="24"/>
          <w:lang w:val="lv-LV"/>
        </w:rPr>
        <w:t xml:space="preserve"> “Ugunsdrošības noteikumi”;</w:t>
      </w:r>
    </w:p>
    <w:p w14:paraId="3E0936D0" w14:textId="1638BB87" w:rsidR="000B337A" w:rsidRPr="000B337A" w:rsidRDefault="000B337A" w:rsidP="00773137">
      <w:pPr>
        <w:pStyle w:val="ListParagraph"/>
        <w:numPr>
          <w:ilvl w:val="2"/>
          <w:numId w:val="2"/>
        </w:numPr>
        <w:spacing w:line="276" w:lineRule="auto"/>
        <w:jc w:val="both"/>
        <w:rPr>
          <w:rFonts w:cs="Times New Roman"/>
          <w:b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20.06.2001.g. LR “Darba aizsardzības likums”;</w:t>
      </w:r>
    </w:p>
    <w:p w14:paraId="35EE68D6" w14:textId="5645E75E" w:rsidR="000B337A" w:rsidRPr="00E8464A" w:rsidRDefault="000B337A" w:rsidP="00773137">
      <w:pPr>
        <w:pStyle w:val="ListParagraph"/>
        <w:numPr>
          <w:ilvl w:val="2"/>
          <w:numId w:val="2"/>
        </w:numPr>
        <w:spacing w:line="276" w:lineRule="auto"/>
        <w:jc w:val="both"/>
        <w:rPr>
          <w:rFonts w:cs="Times New Roman"/>
          <w:b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25.02.2003.g. MK noteikumi Nr.92 “Darba aizsardzības prasības veicot būvdarbus”;</w:t>
      </w:r>
    </w:p>
    <w:p w14:paraId="33E65554" w14:textId="14A68F7B" w:rsidR="007323A4" w:rsidRDefault="00DE4012" w:rsidP="00773137">
      <w:pPr>
        <w:pStyle w:val="ListParagraph"/>
        <w:numPr>
          <w:ilvl w:val="2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LVS 408 “Maģ</w:t>
      </w:r>
      <w:r w:rsidR="00E64FE4">
        <w:rPr>
          <w:rFonts w:cs="Times New Roman"/>
          <w:sz w:val="24"/>
          <w:szCs w:val="24"/>
          <w:lang w:val="lv-LV"/>
        </w:rPr>
        <w:t>istrālo naftas un naftas produktu cauruļvadu projektēšana”;</w:t>
      </w:r>
    </w:p>
    <w:p w14:paraId="14C10B3A" w14:textId="20BBC54F" w:rsidR="00E64FE4" w:rsidRDefault="00E64FE4" w:rsidP="00773137">
      <w:pPr>
        <w:pStyle w:val="ListParagraph"/>
        <w:numPr>
          <w:ilvl w:val="2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LVS 418 “Gāzapgādes sistēmas. Ārējie gāzesvadi. Būvdarbi”;</w:t>
      </w:r>
    </w:p>
    <w:p w14:paraId="5F1BAA4E" w14:textId="70E1A669" w:rsidR="0022544D" w:rsidRPr="00D47950" w:rsidRDefault="00D47950" w:rsidP="00773137">
      <w:pPr>
        <w:pStyle w:val="ListParagraph"/>
        <w:numPr>
          <w:ilvl w:val="2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 w:rsidRPr="00352C49">
        <w:rPr>
          <w:rStyle w:val="Emphasis"/>
          <w:i w:val="0"/>
          <w:sz w:val="24"/>
          <w:szCs w:val="24"/>
          <w:lang w:val="de-DE"/>
        </w:rPr>
        <w:t>LVS EN 14161</w:t>
      </w:r>
      <w:r w:rsidRPr="00352C49">
        <w:rPr>
          <w:rStyle w:val="st"/>
          <w:i/>
          <w:sz w:val="24"/>
          <w:szCs w:val="24"/>
          <w:lang w:val="de-DE"/>
        </w:rPr>
        <w:t>+</w:t>
      </w:r>
      <w:r w:rsidRPr="00352C49">
        <w:rPr>
          <w:rStyle w:val="st"/>
          <w:sz w:val="24"/>
          <w:szCs w:val="24"/>
          <w:lang w:val="de-DE"/>
        </w:rPr>
        <w:t>A1:2015 “</w:t>
      </w:r>
      <w:r w:rsidRPr="00352C49">
        <w:rPr>
          <w:sz w:val="24"/>
          <w:szCs w:val="24"/>
          <w:lang w:val="de-DE"/>
        </w:rPr>
        <w:t xml:space="preserve">Naftas un dabasgāzes rūpniecība. </w:t>
      </w:r>
      <w:proofErr w:type="spellStart"/>
      <w:r w:rsidRPr="00D47950">
        <w:rPr>
          <w:sz w:val="24"/>
          <w:szCs w:val="24"/>
        </w:rPr>
        <w:t>Cauruļvadu</w:t>
      </w:r>
      <w:proofErr w:type="spellEnd"/>
      <w:r w:rsidRPr="00D47950">
        <w:rPr>
          <w:sz w:val="24"/>
          <w:szCs w:val="24"/>
        </w:rPr>
        <w:t xml:space="preserve"> </w:t>
      </w:r>
      <w:proofErr w:type="spellStart"/>
      <w:r w:rsidRPr="00D47950">
        <w:rPr>
          <w:sz w:val="24"/>
          <w:szCs w:val="24"/>
        </w:rPr>
        <w:t>transportsistēmas</w:t>
      </w:r>
      <w:proofErr w:type="spellEnd"/>
      <w:r>
        <w:rPr>
          <w:sz w:val="24"/>
          <w:szCs w:val="24"/>
        </w:rPr>
        <w:t>”;</w:t>
      </w:r>
    </w:p>
    <w:p w14:paraId="39E39973" w14:textId="06A0E74D" w:rsidR="003468F7" w:rsidRPr="00352C49" w:rsidRDefault="000B337A" w:rsidP="00773137">
      <w:pPr>
        <w:pStyle w:val="ListParagraph"/>
        <w:numPr>
          <w:ilvl w:val="2"/>
          <w:numId w:val="2"/>
        </w:numPr>
        <w:spacing w:line="276" w:lineRule="auto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citi LR normatīvie akti un SIA “LatRosTrans” iekšējās instrukcijas un noteikumi.</w:t>
      </w:r>
    </w:p>
    <w:p w14:paraId="23EBA62D" w14:textId="2252D0AF" w:rsidR="00352C49" w:rsidRDefault="00352C49" w:rsidP="00773137">
      <w:pPr>
        <w:spacing w:line="276" w:lineRule="auto"/>
        <w:jc w:val="both"/>
        <w:rPr>
          <w:rFonts w:cs="Times New Roman"/>
          <w:sz w:val="24"/>
          <w:szCs w:val="24"/>
          <w:lang w:val="lv-LV"/>
        </w:rPr>
      </w:pPr>
    </w:p>
    <w:p w14:paraId="0CA35059" w14:textId="77777777" w:rsidR="00352C49" w:rsidRDefault="00352C49" w:rsidP="00773137">
      <w:pPr>
        <w:spacing w:line="276" w:lineRule="auto"/>
        <w:jc w:val="both"/>
        <w:rPr>
          <w:rFonts w:cs="Times New Roman"/>
          <w:sz w:val="24"/>
          <w:szCs w:val="24"/>
          <w:lang w:val="lv-LV"/>
        </w:rPr>
      </w:pPr>
    </w:p>
    <w:sectPr w:rsidR="00352C49" w:rsidSect="00F65343">
      <w:footerReference w:type="default" r:id="rId8"/>
      <w:pgSz w:w="12240" w:h="15840"/>
      <w:pgMar w:top="720" w:right="851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C80F" w14:textId="77777777" w:rsidR="00711B05" w:rsidRDefault="00711B05" w:rsidP="00975F20">
      <w:pPr>
        <w:spacing w:after="0"/>
      </w:pPr>
      <w:r>
        <w:separator/>
      </w:r>
    </w:p>
  </w:endnote>
  <w:endnote w:type="continuationSeparator" w:id="0">
    <w:p w14:paraId="1EC48F54" w14:textId="77777777" w:rsidR="00711B05" w:rsidRDefault="00711B05" w:rsidP="00975F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95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74353" w14:textId="27C131FA" w:rsidR="00352C49" w:rsidRDefault="00352C49" w:rsidP="00352C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5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71BA" w14:textId="77777777" w:rsidR="00711B05" w:rsidRDefault="00711B05" w:rsidP="00975F20">
      <w:pPr>
        <w:spacing w:after="0"/>
      </w:pPr>
      <w:r>
        <w:separator/>
      </w:r>
    </w:p>
  </w:footnote>
  <w:footnote w:type="continuationSeparator" w:id="0">
    <w:p w14:paraId="46DE779F" w14:textId="77777777" w:rsidR="00711B05" w:rsidRDefault="00711B05" w:rsidP="00975F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5BE"/>
    <w:multiLevelType w:val="hybridMultilevel"/>
    <w:tmpl w:val="90F8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61DC"/>
    <w:multiLevelType w:val="hybridMultilevel"/>
    <w:tmpl w:val="84F66D48"/>
    <w:lvl w:ilvl="0" w:tplc="3A4014E8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28841C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E6A6D30"/>
    <w:multiLevelType w:val="hybridMultilevel"/>
    <w:tmpl w:val="0F3609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A03964"/>
    <w:multiLevelType w:val="multilevel"/>
    <w:tmpl w:val="682851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05"/>
    <w:rsid w:val="00003D22"/>
    <w:rsid w:val="0000475C"/>
    <w:rsid w:val="00015257"/>
    <w:rsid w:val="00025536"/>
    <w:rsid w:val="00052F66"/>
    <w:rsid w:val="00056F82"/>
    <w:rsid w:val="0007507D"/>
    <w:rsid w:val="00075650"/>
    <w:rsid w:val="00095DB0"/>
    <w:rsid w:val="000A07F5"/>
    <w:rsid w:val="000A43A8"/>
    <w:rsid w:val="000A5E00"/>
    <w:rsid w:val="000B28A7"/>
    <w:rsid w:val="000B337A"/>
    <w:rsid w:val="000B4CA7"/>
    <w:rsid w:val="000C15EB"/>
    <w:rsid w:val="000C425B"/>
    <w:rsid w:val="000C7191"/>
    <w:rsid w:val="000D727D"/>
    <w:rsid w:val="001006B7"/>
    <w:rsid w:val="00103CF9"/>
    <w:rsid w:val="001124FB"/>
    <w:rsid w:val="001142A5"/>
    <w:rsid w:val="001144D3"/>
    <w:rsid w:val="001161B6"/>
    <w:rsid w:val="00126805"/>
    <w:rsid w:val="00136F08"/>
    <w:rsid w:val="00137A17"/>
    <w:rsid w:val="00142D2C"/>
    <w:rsid w:val="001433DE"/>
    <w:rsid w:val="00156557"/>
    <w:rsid w:val="00170B85"/>
    <w:rsid w:val="00176489"/>
    <w:rsid w:val="001925F5"/>
    <w:rsid w:val="00195C5D"/>
    <w:rsid w:val="001A2FCF"/>
    <w:rsid w:val="001A5DC2"/>
    <w:rsid w:val="001C243E"/>
    <w:rsid w:val="001C5479"/>
    <w:rsid w:val="001C74A8"/>
    <w:rsid w:val="001D53ED"/>
    <w:rsid w:val="001E5011"/>
    <w:rsid w:val="00207376"/>
    <w:rsid w:val="0022544D"/>
    <w:rsid w:val="00225A0D"/>
    <w:rsid w:val="00227BB2"/>
    <w:rsid w:val="00232D62"/>
    <w:rsid w:val="002419E9"/>
    <w:rsid w:val="00243C4E"/>
    <w:rsid w:val="00246A67"/>
    <w:rsid w:val="00263A0A"/>
    <w:rsid w:val="0027653C"/>
    <w:rsid w:val="0029209D"/>
    <w:rsid w:val="0029380F"/>
    <w:rsid w:val="002A2D68"/>
    <w:rsid w:val="002A677E"/>
    <w:rsid w:val="002B5150"/>
    <w:rsid w:val="002C3C7A"/>
    <w:rsid w:val="002C65D2"/>
    <w:rsid w:val="002C668B"/>
    <w:rsid w:val="002D143C"/>
    <w:rsid w:val="003017A7"/>
    <w:rsid w:val="00301810"/>
    <w:rsid w:val="00303C97"/>
    <w:rsid w:val="003104A3"/>
    <w:rsid w:val="00324824"/>
    <w:rsid w:val="00324868"/>
    <w:rsid w:val="003462B0"/>
    <w:rsid w:val="003468F7"/>
    <w:rsid w:val="00352C49"/>
    <w:rsid w:val="00366C70"/>
    <w:rsid w:val="003727D4"/>
    <w:rsid w:val="0038222B"/>
    <w:rsid w:val="003A73FC"/>
    <w:rsid w:val="003B4122"/>
    <w:rsid w:val="003B5CDD"/>
    <w:rsid w:val="003C590A"/>
    <w:rsid w:val="003C7257"/>
    <w:rsid w:val="003D306D"/>
    <w:rsid w:val="003D57F4"/>
    <w:rsid w:val="003E394A"/>
    <w:rsid w:val="003F3E3C"/>
    <w:rsid w:val="00413EFD"/>
    <w:rsid w:val="0043288B"/>
    <w:rsid w:val="004445B7"/>
    <w:rsid w:val="00450974"/>
    <w:rsid w:val="0045217B"/>
    <w:rsid w:val="00454080"/>
    <w:rsid w:val="00455CD9"/>
    <w:rsid w:val="00471BF1"/>
    <w:rsid w:val="00471DE9"/>
    <w:rsid w:val="00480623"/>
    <w:rsid w:val="00486EEB"/>
    <w:rsid w:val="0049075F"/>
    <w:rsid w:val="00491F91"/>
    <w:rsid w:val="00492644"/>
    <w:rsid w:val="004A11C0"/>
    <w:rsid w:val="004A2FF4"/>
    <w:rsid w:val="004A6166"/>
    <w:rsid w:val="004B6E5F"/>
    <w:rsid w:val="004C1CA8"/>
    <w:rsid w:val="004C585E"/>
    <w:rsid w:val="005008FA"/>
    <w:rsid w:val="0051059C"/>
    <w:rsid w:val="005107C6"/>
    <w:rsid w:val="00536798"/>
    <w:rsid w:val="00551732"/>
    <w:rsid w:val="00553376"/>
    <w:rsid w:val="00556413"/>
    <w:rsid w:val="005616F5"/>
    <w:rsid w:val="0056767B"/>
    <w:rsid w:val="00577420"/>
    <w:rsid w:val="00591D11"/>
    <w:rsid w:val="005B741B"/>
    <w:rsid w:val="0060255F"/>
    <w:rsid w:val="006056F1"/>
    <w:rsid w:val="00606375"/>
    <w:rsid w:val="00632F61"/>
    <w:rsid w:val="00634454"/>
    <w:rsid w:val="0064203C"/>
    <w:rsid w:val="0064234B"/>
    <w:rsid w:val="006452C5"/>
    <w:rsid w:val="0064564D"/>
    <w:rsid w:val="00654C10"/>
    <w:rsid w:val="00675CAD"/>
    <w:rsid w:val="00683AE7"/>
    <w:rsid w:val="006957A9"/>
    <w:rsid w:val="006B0B48"/>
    <w:rsid w:val="006C4A88"/>
    <w:rsid w:val="006C5B74"/>
    <w:rsid w:val="006D246E"/>
    <w:rsid w:val="006F7A9F"/>
    <w:rsid w:val="00711B05"/>
    <w:rsid w:val="007133FF"/>
    <w:rsid w:val="00716B47"/>
    <w:rsid w:val="00730AA7"/>
    <w:rsid w:val="007323A4"/>
    <w:rsid w:val="00740023"/>
    <w:rsid w:val="00744EB1"/>
    <w:rsid w:val="0074772A"/>
    <w:rsid w:val="007520C6"/>
    <w:rsid w:val="00763D55"/>
    <w:rsid w:val="00767553"/>
    <w:rsid w:val="00773137"/>
    <w:rsid w:val="00775D14"/>
    <w:rsid w:val="007A59B4"/>
    <w:rsid w:val="007A5F45"/>
    <w:rsid w:val="007B68B6"/>
    <w:rsid w:val="007C28CB"/>
    <w:rsid w:val="007D764D"/>
    <w:rsid w:val="007E0D62"/>
    <w:rsid w:val="007E6789"/>
    <w:rsid w:val="007E732B"/>
    <w:rsid w:val="007F1480"/>
    <w:rsid w:val="0080415B"/>
    <w:rsid w:val="008104D6"/>
    <w:rsid w:val="00830118"/>
    <w:rsid w:val="00831031"/>
    <w:rsid w:val="0083750D"/>
    <w:rsid w:val="00837DB8"/>
    <w:rsid w:val="00857261"/>
    <w:rsid w:val="008A0D5B"/>
    <w:rsid w:val="008B0AF3"/>
    <w:rsid w:val="008B5353"/>
    <w:rsid w:val="008B5A0D"/>
    <w:rsid w:val="008C5342"/>
    <w:rsid w:val="008D311A"/>
    <w:rsid w:val="008E08A5"/>
    <w:rsid w:val="008F5B1F"/>
    <w:rsid w:val="00905000"/>
    <w:rsid w:val="0092459C"/>
    <w:rsid w:val="00925E84"/>
    <w:rsid w:val="00926352"/>
    <w:rsid w:val="00927D7B"/>
    <w:rsid w:val="00956B6D"/>
    <w:rsid w:val="00975F20"/>
    <w:rsid w:val="009C0E11"/>
    <w:rsid w:val="009E3C7F"/>
    <w:rsid w:val="009F1880"/>
    <w:rsid w:val="00A2028F"/>
    <w:rsid w:val="00A202A2"/>
    <w:rsid w:val="00A206DB"/>
    <w:rsid w:val="00A24DAB"/>
    <w:rsid w:val="00A25D0F"/>
    <w:rsid w:val="00A31AFD"/>
    <w:rsid w:val="00A7269B"/>
    <w:rsid w:val="00A72994"/>
    <w:rsid w:val="00A75874"/>
    <w:rsid w:val="00A8036F"/>
    <w:rsid w:val="00A97C77"/>
    <w:rsid w:val="00AB3207"/>
    <w:rsid w:val="00AB7E12"/>
    <w:rsid w:val="00AD733D"/>
    <w:rsid w:val="00AF45F3"/>
    <w:rsid w:val="00B32D88"/>
    <w:rsid w:val="00B33221"/>
    <w:rsid w:val="00B33721"/>
    <w:rsid w:val="00B509D3"/>
    <w:rsid w:val="00B73205"/>
    <w:rsid w:val="00B746A9"/>
    <w:rsid w:val="00B8205B"/>
    <w:rsid w:val="00BC5548"/>
    <w:rsid w:val="00BD5F5D"/>
    <w:rsid w:val="00BD6D6A"/>
    <w:rsid w:val="00BE4E23"/>
    <w:rsid w:val="00BE6035"/>
    <w:rsid w:val="00BF676F"/>
    <w:rsid w:val="00C10A0B"/>
    <w:rsid w:val="00C17F0D"/>
    <w:rsid w:val="00C22AC9"/>
    <w:rsid w:val="00C25056"/>
    <w:rsid w:val="00C4490D"/>
    <w:rsid w:val="00C46DAA"/>
    <w:rsid w:val="00C51BB1"/>
    <w:rsid w:val="00C557EB"/>
    <w:rsid w:val="00C829FB"/>
    <w:rsid w:val="00C903E3"/>
    <w:rsid w:val="00C9726D"/>
    <w:rsid w:val="00CB0905"/>
    <w:rsid w:val="00CC1125"/>
    <w:rsid w:val="00CE167F"/>
    <w:rsid w:val="00CF360A"/>
    <w:rsid w:val="00D15F9E"/>
    <w:rsid w:val="00D160FC"/>
    <w:rsid w:val="00D26972"/>
    <w:rsid w:val="00D26E5A"/>
    <w:rsid w:val="00D279BD"/>
    <w:rsid w:val="00D31925"/>
    <w:rsid w:val="00D322B6"/>
    <w:rsid w:val="00D411BB"/>
    <w:rsid w:val="00D426D2"/>
    <w:rsid w:val="00D47950"/>
    <w:rsid w:val="00D62F6B"/>
    <w:rsid w:val="00D730EF"/>
    <w:rsid w:val="00D81DCE"/>
    <w:rsid w:val="00D96655"/>
    <w:rsid w:val="00DB0D4C"/>
    <w:rsid w:val="00DB5546"/>
    <w:rsid w:val="00DD16BB"/>
    <w:rsid w:val="00DE4012"/>
    <w:rsid w:val="00DF2A84"/>
    <w:rsid w:val="00E139D9"/>
    <w:rsid w:val="00E37F4A"/>
    <w:rsid w:val="00E558F3"/>
    <w:rsid w:val="00E56BE5"/>
    <w:rsid w:val="00E61816"/>
    <w:rsid w:val="00E64FE4"/>
    <w:rsid w:val="00E81CA0"/>
    <w:rsid w:val="00E8205D"/>
    <w:rsid w:val="00E8464A"/>
    <w:rsid w:val="00E85C2F"/>
    <w:rsid w:val="00E907B8"/>
    <w:rsid w:val="00E92ACB"/>
    <w:rsid w:val="00EA059E"/>
    <w:rsid w:val="00EA7A92"/>
    <w:rsid w:val="00EB2AAE"/>
    <w:rsid w:val="00EB4BB0"/>
    <w:rsid w:val="00EC5574"/>
    <w:rsid w:val="00ED0344"/>
    <w:rsid w:val="00ED1E81"/>
    <w:rsid w:val="00EE19A0"/>
    <w:rsid w:val="00EF1C63"/>
    <w:rsid w:val="00F0576E"/>
    <w:rsid w:val="00F24F02"/>
    <w:rsid w:val="00F313B4"/>
    <w:rsid w:val="00F410D9"/>
    <w:rsid w:val="00F65343"/>
    <w:rsid w:val="00F70116"/>
    <w:rsid w:val="00F7217A"/>
    <w:rsid w:val="00F83A1A"/>
    <w:rsid w:val="00F91142"/>
    <w:rsid w:val="00F9189E"/>
    <w:rsid w:val="00F949DE"/>
    <w:rsid w:val="00FB23EA"/>
    <w:rsid w:val="00FB2722"/>
    <w:rsid w:val="00FB2E63"/>
    <w:rsid w:val="00FB4DCE"/>
    <w:rsid w:val="00FB60BC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46C8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1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05"/>
    <w:pPr>
      <w:ind w:left="720"/>
      <w:contextualSpacing/>
    </w:pPr>
  </w:style>
  <w:style w:type="paragraph" w:styleId="BodyText">
    <w:name w:val="Body Text"/>
    <w:basedOn w:val="Normal"/>
    <w:link w:val="BodyTextChar"/>
    <w:rsid w:val="00FB4DCE"/>
    <w:pPr>
      <w:spacing w:after="0"/>
      <w:jc w:val="right"/>
    </w:pPr>
    <w:rPr>
      <w:rFonts w:eastAsia="Times New Roman" w:cs="Times New Roman"/>
      <w:sz w:val="24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FB4DCE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9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E9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5F2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5F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5F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73FC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156557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6557"/>
  </w:style>
  <w:style w:type="paragraph" w:styleId="Footer">
    <w:name w:val="footer"/>
    <w:basedOn w:val="Normal"/>
    <w:link w:val="FooterChar"/>
    <w:uiPriority w:val="99"/>
    <w:unhideWhenUsed/>
    <w:rsid w:val="00156557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6557"/>
  </w:style>
  <w:style w:type="character" w:customStyle="1" w:styleId="apple-style-span">
    <w:name w:val="apple-style-span"/>
    <w:basedOn w:val="DefaultParagraphFont"/>
    <w:rsid w:val="004B6E5F"/>
  </w:style>
  <w:style w:type="character" w:customStyle="1" w:styleId="st">
    <w:name w:val="st"/>
    <w:basedOn w:val="DefaultParagraphFont"/>
    <w:rsid w:val="00D47950"/>
  </w:style>
  <w:style w:type="character" w:styleId="Emphasis">
    <w:name w:val="Emphasis"/>
    <w:basedOn w:val="DefaultParagraphFont"/>
    <w:uiPriority w:val="20"/>
    <w:qFormat/>
    <w:rsid w:val="00D47950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7E67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E6789"/>
    <w:rPr>
      <w:rFonts w:ascii="Times New Roman" w:hAnsi="Times New Roman"/>
    </w:rPr>
  </w:style>
  <w:style w:type="character" w:styleId="Hyperlink">
    <w:name w:val="Hyperlink"/>
    <w:rsid w:val="00352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BB25-6C77-4A15-AD6C-28CAE1F0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2021-02-23T07:25:00Z</dcterms:created>
  <dcterms:modified xsi:type="dcterms:W3CDTF">2021-04-21T03:00:00Z</dcterms:modified>
</cp:coreProperties>
</file>