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113E0" w14:textId="77777777" w:rsidR="00DD3345" w:rsidRPr="00183370" w:rsidRDefault="00DD3345" w:rsidP="006A19D1">
      <w:pPr>
        <w:pStyle w:val="BodyText"/>
        <w:spacing w:line="276" w:lineRule="auto"/>
        <w:rPr>
          <w:b/>
          <w:szCs w:val="24"/>
          <w:lang w:val="lv-LV"/>
        </w:rPr>
      </w:pPr>
      <w:r w:rsidRPr="00183370">
        <w:rPr>
          <w:b/>
          <w:szCs w:val="24"/>
          <w:lang w:val="lv-LV"/>
        </w:rPr>
        <w:t>APSTIPRINU</w:t>
      </w:r>
    </w:p>
    <w:p w14:paraId="716420C2" w14:textId="77777777" w:rsidR="00DD3345" w:rsidRPr="00183370" w:rsidRDefault="00DD3345" w:rsidP="006A19D1">
      <w:pPr>
        <w:pStyle w:val="BodyText"/>
        <w:spacing w:line="276" w:lineRule="auto"/>
        <w:rPr>
          <w:b/>
          <w:szCs w:val="24"/>
          <w:lang w:val="lv-LV"/>
        </w:rPr>
      </w:pPr>
      <w:r w:rsidRPr="00183370">
        <w:rPr>
          <w:b/>
          <w:szCs w:val="24"/>
          <w:lang w:val="lv-LV"/>
        </w:rPr>
        <w:t xml:space="preserve">SIA "LatRosTrans" </w:t>
      </w:r>
    </w:p>
    <w:p w14:paraId="2949AF02" w14:textId="77777777" w:rsidR="00DD3345" w:rsidRPr="00183370" w:rsidRDefault="00DD3345" w:rsidP="006A19D1">
      <w:pPr>
        <w:pStyle w:val="BodyText"/>
        <w:spacing w:line="276" w:lineRule="auto"/>
        <w:rPr>
          <w:b/>
          <w:szCs w:val="24"/>
          <w:lang w:val="lv-LV"/>
        </w:rPr>
      </w:pPr>
      <w:r w:rsidRPr="00183370">
        <w:rPr>
          <w:b/>
          <w:szCs w:val="24"/>
          <w:lang w:val="lv-LV"/>
        </w:rPr>
        <w:t>Biznesa attīstības direktors</w:t>
      </w:r>
    </w:p>
    <w:p w14:paraId="0ACBB560" w14:textId="45D18ABE" w:rsidR="00DD3345" w:rsidRPr="00183370" w:rsidRDefault="00DD3345" w:rsidP="006A19D1">
      <w:pPr>
        <w:pStyle w:val="BodyText"/>
        <w:spacing w:line="276" w:lineRule="auto"/>
        <w:rPr>
          <w:b/>
          <w:szCs w:val="24"/>
          <w:lang w:val="lv-LV"/>
        </w:rPr>
      </w:pPr>
      <w:r w:rsidRPr="00183370">
        <w:rPr>
          <w:b/>
          <w:szCs w:val="24"/>
          <w:lang w:val="lv-LV"/>
        </w:rPr>
        <w:t>R</w:t>
      </w:r>
      <w:r w:rsidR="00FE7F48">
        <w:rPr>
          <w:b/>
          <w:szCs w:val="24"/>
          <w:lang w:val="lv-LV"/>
        </w:rPr>
        <w:t>enārs</w:t>
      </w:r>
      <w:r w:rsidRPr="00183370">
        <w:rPr>
          <w:b/>
          <w:szCs w:val="24"/>
          <w:lang w:val="lv-LV"/>
        </w:rPr>
        <w:t xml:space="preserve"> Zelčs</w:t>
      </w:r>
    </w:p>
    <w:p w14:paraId="43F9C897" w14:textId="2874B011" w:rsidR="00FB4DCE" w:rsidRPr="00183370" w:rsidRDefault="00DD3345" w:rsidP="006A19D1">
      <w:pPr>
        <w:pStyle w:val="BodyText"/>
        <w:spacing w:line="276" w:lineRule="auto"/>
        <w:rPr>
          <w:b/>
          <w:szCs w:val="24"/>
          <w:lang w:val="lv-LV"/>
        </w:rPr>
      </w:pPr>
      <w:r w:rsidRPr="00183370">
        <w:rPr>
          <w:b/>
          <w:szCs w:val="24"/>
          <w:lang w:val="lv-LV"/>
        </w:rPr>
        <w:t>20</w:t>
      </w:r>
      <w:r w:rsidR="00AB2D03" w:rsidRPr="00183370">
        <w:rPr>
          <w:b/>
          <w:szCs w:val="24"/>
          <w:lang w:val="lv-LV"/>
        </w:rPr>
        <w:t>2</w:t>
      </w:r>
      <w:r w:rsidR="00713828">
        <w:rPr>
          <w:b/>
          <w:szCs w:val="24"/>
          <w:lang w:val="lv-LV"/>
        </w:rPr>
        <w:t>1</w:t>
      </w:r>
      <w:r w:rsidRPr="00183370">
        <w:rPr>
          <w:b/>
          <w:szCs w:val="24"/>
          <w:lang w:val="lv-LV"/>
        </w:rPr>
        <w:t xml:space="preserve">. gada </w:t>
      </w:r>
      <w:r w:rsidR="00FE7F48">
        <w:rPr>
          <w:b/>
          <w:szCs w:val="24"/>
          <w:lang w:val="lv-LV"/>
        </w:rPr>
        <w:t>5. februāris</w:t>
      </w:r>
      <w:bookmarkStart w:id="0" w:name="_GoBack"/>
      <w:bookmarkEnd w:id="0"/>
    </w:p>
    <w:p w14:paraId="609122D8" w14:textId="77777777" w:rsidR="00DD3345" w:rsidRPr="00183370" w:rsidRDefault="00DD3345" w:rsidP="00DD3345">
      <w:pPr>
        <w:pStyle w:val="BodyText"/>
        <w:jc w:val="left"/>
        <w:rPr>
          <w:sz w:val="28"/>
          <w:lang w:val="lv-LV"/>
        </w:rPr>
      </w:pPr>
    </w:p>
    <w:p w14:paraId="3AF29814" w14:textId="77777777" w:rsidR="00FB4DCE" w:rsidRPr="00183370" w:rsidRDefault="001812B7" w:rsidP="006A19D1">
      <w:pPr>
        <w:pStyle w:val="BodyText"/>
        <w:spacing w:line="276" w:lineRule="auto"/>
        <w:jc w:val="center"/>
        <w:rPr>
          <w:b/>
          <w:bCs/>
          <w:szCs w:val="24"/>
          <w:lang w:val="lv-LV"/>
        </w:rPr>
      </w:pPr>
      <w:r w:rsidRPr="00183370">
        <w:rPr>
          <w:b/>
          <w:bCs/>
          <w:szCs w:val="24"/>
          <w:lang w:val="lv-LV"/>
        </w:rPr>
        <w:t>TEHNISKAIS</w:t>
      </w:r>
      <w:r w:rsidR="00FB4DCE" w:rsidRPr="00183370">
        <w:rPr>
          <w:b/>
          <w:bCs/>
          <w:szCs w:val="24"/>
          <w:lang w:val="lv-LV"/>
        </w:rPr>
        <w:t xml:space="preserve"> UZDEVUMS</w:t>
      </w:r>
    </w:p>
    <w:p w14:paraId="07C1086B" w14:textId="33852C14" w:rsidR="003D5FB8" w:rsidRPr="00183370" w:rsidRDefault="003D5FB8" w:rsidP="005C21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b/>
          <w:sz w:val="24"/>
          <w:szCs w:val="24"/>
          <w:lang w:val="lv-LV"/>
        </w:rPr>
        <w:t xml:space="preserve">LRDS “Ilūkste” </w:t>
      </w:r>
      <w:r w:rsidR="005C21B2">
        <w:rPr>
          <w:rFonts w:ascii="Times New Roman" w:hAnsi="Times New Roman" w:cs="Times New Roman"/>
          <w:b/>
          <w:sz w:val="24"/>
          <w:szCs w:val="24"/>
          <w:lang w:val="lv-LV"/>
        </w:rPr>
        <w:t>ēku jumtu lietus ū</w:t>
      </w:r>
      <w:r w:rsidR="003C599F">
        <w:rPr>
          <w:rFonts w:ascii="Times New Roman" w:hAnsi="Times New Roman" w:cs="Times New Roman"/>
          <w:b/>
          <w:sz w:val="24"/>
          <w:szCs w:val="24"/>
          <w:lang w:val="lv-LV"/>
        </w:rPr>
        <w:t xml:space="preserve">dens </w:t>
      </w:r>
      <w:proofErr w:type="spellStart"/>
      <w:r w:rsidR="003C599F">
        <w:rPr>
          <w:rFonts w:ascii="Times New Roman" w:hAnsi="Times New Roman" w:cs="Times New Roman"/>
          <w:b/>
          <w:sz w:val="24"/>
          <w:szCs w:val="24"/>
          <w:lang w:val="lv-LV"/>
        </w:rPr>
        <w:t>notek</w:t>
      </w:r>
      <w:r w:rsidR="005C21B2">
        <w:rPr>
          <w:rFonts w:ascii="Times New Roman" w:hAnsi="Times New Roman" w:cs="Times New Roman"/>
          <w:b/>
          <w:sz w:val="24"/>
          <w:szCs w:val="24"/>
          <w:lang w:val="lv-LV"/>
        </w:rPr>
        <w:t>sistēmu</w:t>
      </w:r>
      <w:proofErr w:type="spellEnd"/>
      <w:r w:rsidR="005C21B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atjaunošana</w:t>
      </w:r>
    </w:p>
    <w:p w14:paraId="136C997C" w14:textId="77777777" w:rsidR="001550D9" w:rsidRPr="00183370" w:rsidRDefault="00486EEB" w:rsidP="006A19D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b/>
          <w:sz w:val="24"/>
          <w:szCs w:val="24"/>
          <w:lang w:val="lv-LV"/>
        </w:rPr>
        <w:t>Darba</w:t>
      </w:r>
      <w:r w:rsidR="002B5150" w:rsidRPr="00183370">
        <w:rPr>
          <w:rFonts w:ascii="Times New Roman" w:hAnsi="Times New Roman" w:cs="Times New Roman"/>
          <w:b/>
          <w:sz w:val="24"/>
          <w:szCs w:val="24"/>
          <w:lang w:val="lv-LV"/>
        </w:rPr>
        <w:t xml:space="preserve"> mērķis:</w:t>
      </w:r>
    </w:p>
    <w:p w14:paraId="5EA53664" w14:textId="021D83BC" w:rsidR="005C21B2" w:rsidRPr="00C30C45" w:rsidRDefault="005C21B2" w:rsidP="005C21B2">
      <w:pPr>
        <w:pStyle w:val="ListParagraph"/>
        <w:numPr>
          <w:ilvl w:val="1"/>
          <w:numId w:val="2"/>
        </w:numPr>
        <w:ind w:left="57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Novērst lietus nokrišņu ārdošu </w:t>
      </w:r>
      <w:r w:rsidR="004952BA">
        <w:rPr>
          <w:rFonts w:ascii="Times New Roman" w:hAnsi="Times New Roman" w:cs="Times New Roman"/>
          <w:sz w:val="24"/>
          <w:szCs w:val="24"/>
          <w:lang w:val="lv-LV"/>
        </w:rPr>
        <w:t>iedarbību uz ēku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pamatiem.</w:t>
      </w:r>
    </w:p>
    <w:p w14:paraId="30FC519C" w14:textId="77777777" w:rsidR="00B36405" w:rsidRPr="00183370" w:rsidRDefault="00B36405" w:rsidP="00B36405">
      <w:pPr>
        <w:pStyle w:val="ListParagraph"/>
        <w:ind w:left="792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AD38BF0" w14:textId="77777777" w:rsidR="007E6B88" w:rsidRPr="00183370" w:rsidRDefault="007E6B88" w:rsidP="006A19D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b/>
          <w:sz w:val="24"/>
          <w:szCs w:val="24"/>
          <w:lang w:val="lv-LV"/>
        </w:rPr>
        <w:t>Objekta raksturojums:</w:t>
      </w:r>
    </w:p>
    <w:p w14:paraId="00AC4DDC" w14:textId="77777777" w:rsidR="003D5FB8" w:rsidRDefault="003D5FB8" w:rsidP="003D5FB8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LRDS “Ilūkste”, Šēderes pagasts, Ilūkstes novads;</w:t>
      </w:r>
    </w:p>
    <w:p w14:paraId="6D3391F6" w14:textId="77777777" w:rsidR="00B36405" w:rsidRPr="00183370" w:rsidRDefault="00B36405" w:rsidP="00B36405">
      <w:pPr>
        <w:pStyle w:val="ListParagraph"/>
        <w:spacing w:line="240" w:lineRule="auto"/>
        <w:ind w:left="792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E738E8A" w14:textId="77777777" w:rsidR="003924E2" w:rsidRPr="00183370" w:rsidRDefault="00AA4FA7" w:rsidP="006A19D1">
      <w:pPr>
        <w:pStyle w:val="ListParagraph"/>
        <w:numPr>
          <w:ilvl w:val="0"/>
          <w:numId w:val="2"/>
        </w:num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b/>
          <w:sz w:val="24"/>
          <w:szCs w:val="24"/>
          <w:lang w:val="lv-LV"/>
        </w:rPr>
        <w:t>Būv</w:t>
      </w:r>
      <w:r w:rsidR="00997D1F" w:rsidRPr="00183370">
        <w:rPr>
          <w:rFonts w:ascii="Times New Roman" w:hAnsi="Times New Roman" w:cs="Times New Roman"/>
          <w:b/>
          <w:sz w:val="24"/>
          <w:szCs w:val="24"/>
          <w:lang w:val="lv-LV"/>
        </w:rPr>
        <w:t>darbu apjomi</w:t>
      </w:r>
      <w:r w:rsidR="003924E2" w:rsidRPr="00183370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tbl>
      <w:tblPr>
        <w:tblStyle w:val="TableGrid"/>
        <w:tblW w:w="10019" w:type="dxa"/>
        <w:jc w:val="right"/>
        <w:tblLook w:val="04A0" w:firstRow="1" w:lastRow="0" w:firstColumn="1" w:lastColumn="0" w:noHBand="0" w:noVBand="1"/>
      </w:tblPr>
      <w:tblGrid>
        <w:gridCol w:w="777"/>
        <w:gridCol w:w="7534"/>
        <w:gridCol w:w="716"/>
        <w:gridCol w:w="992"/>
      </w:tblGrid>
      <w:tr w:rsidR="0040767B" w:rsidRPr="00183370" w14:paraId="368C2F3D" w14:textId="77777777" w:rsidTr="00940FE6">
        <w:trPr>
          <w:trHeight w:val="465"/>
          <w:jc w:val="right"/>
        </w:trPr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62303965" w14:textId="77777777" w:rsidR="0040767B" w:rsidRPr="00940FE6" w:rsidRDefault="0040767B" w:rsidP="00AA4FA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proofErr w:type="spellStart"/>
            <w:r w:rsidRPr="00940FE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N.p.k</w:t>
            </w:r>
            <w:proofErr w:type="spellEnd"/>
          </w:p>
        </w:tc>
        <w:tc>
          <w:tcPr>
            <w:tcW w:w="7600" w:type="dxa"/>
            <w:shd w:val="clear" w:color="auto" w:fill="D9D9D9" w:themeFill="background1" w:themeFillShade="D9"/>
            <w:vAlign w:val="center"/>
          </w:tcPr>
          <w:p w14:paraId="6F16BBDE" w14:textId="77777777" w:rsidR="0040767B" w:rsidRPr="00940FE6" w:rsidRDefault="0040767B" w:rsidP="00AA4FA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40FE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Būvdarbu apraksts</w:t>
            </w:r>
          </w:p>
        </w:tc>
        <w:tc>
          <w:tcPr>
            <w:tcW w:w="676" w:type="dxa"/>
            <w:shd w:val="clear" w:color="auto" w:fill="D9D9D9" w:themeFill="background1" w:themeFillShade="D9"/>
            <w:vAlign w:val="center"/>
          </w:tcPr>
          <w:p w14:paraId="56322E3B" w14:textId="77777777" w:rsidR="0040767B" w:rsidRPr="00940FE6" w:rsidRDefault="0040767B" w:rsidP="00D662C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40FE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Mēr.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E246D91" w14:textId="77777777" w:rsidR="0040767B" w:rsidRPr="00940FE6" w:rsidRDefault="0040767B" w:rsidP="0020325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40FE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Daudz.</w:t>
            </w:r>
          </w:p>
        </w:tc>
      </w:tr>
      <w:tr w:rsidR="005B6337" w:rsidRPr="00FE7F48" w14:paraId="39F418A3" w14:textId="77777777" w:rsidTr="00702E9D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48EFFDC3" w14:textId="646D2B93" w:rsidR="005B6337" w:rsidRPr="00940FE6" w:rsidRDefault="005B6337" w:rsidP="00BF13E7">
            <w:pPr>
              <w:spacing w:before="120"/>
              <w:ind w:right="-533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40FE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9269" w:type="dxa"/>
            <w:gridSpan w:val="3"/>
            <w:shd w:val="clear" w:color="auto" w:fill="auto"/>
            <w:vAlign w:val="center"/>
          </w:tcPr>
          <w:p w14:paraId="434E9D44" w14:textId="7E217407" w:rsidR="005B6337" w:rsidRPr="00940FE6" w:rsidRDefault="005B6337" w:rsidP="005B633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40FE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Ēka Nr.1 – Ugunsdzēsības sūkņu stacija Nr.100;</w:t>
            </w:r>
          </w:p>
        </w:tc>
      </w:tr>
      <w:tr w:rsidR="00940FE6" w:rsidRPr="00BF13E7" w14:paraId="275E0A03" w14:textId="77777777" w:rsidTr="00940FE6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4F2445B8" w14:textId="2A57AB0C" w:rsidR="00940FE6" w:rsidRDefault="00940FE6" w:rsidP="00940FE6">
            <w:pPr>
              <w:spacing w:before="120"/>
              <w:ind w:right="-53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1.1</w:t>
            </w:r>
          </w:p>
        </w:tc>
        <w:tc>
          <w:tcPr>
            <w:tcW w:w="7600" w:type="dxa"/>
            <w:shd w:val="clear" w:color="auto" w:fill="auto"/>
            <w:vAlign w:val="center"/>
          </w:tcPr>
          <w:p w14:paraId="3D937298" w14:textId="22B38194" w:rsidR="00940FE6" w:rsidRDefault="00940FE6" w:rsidP="00940FE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Ēka Nr.1. </w:t>
            </w:r>
            <w:proofErr w:type="spellStart"/>
            <w:r w:rsidRPr="00BF13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Divslīpju</w:t>
            </w:r>
            <w:proofErr w:type="spellEnd"/>
            <w:r w:rsidRPr="00BF13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jumta metāla lietus ūdens </w:t>
            </w:r>
            <w:proofErr w:type="spellStart"/>
            <w:r w:rsidRPr="00BF13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noteksistēmas</w:t>
            </w:r>
            <w:proofErr w:type="spellEnd"/>
            <w:r w:rsidRPr="00BF13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ierīkošana ar pacēlāju augstumā h=5m, t.sk. teknes āķu montāža, notekas D125/100 montāža ar slīpumu 0.003, notekcaurules D100 montāža, krāsa RAL8017 vai līdzīga. Jumta malu garumi 18.5m x2gb., augstums no zemes līdz karnīzei 5.0m, paspārnes platums 0.3m;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5CA00763" w14:textId="00D190ED" w:rsidR="00940FE6" w:rsidRPr="005B6337" w:rsidRDefault="00940FE6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483676" w14:textId="02B18A33" w:rsidR="00940FE6" w:rsidRDefault="00940FE6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  <w:tr w:rsidR="00940FE6" w:rsidRPr="00BF13E7" w14:paraId="605BE6DD" w14:textId="77777777" w:rsidTr="0086796C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1D036EF0" w14:textId="40A2E1A1" w:rsidR="00940FE6" w:rsidRPr="00940FE6" w:rsidRDefault="00940FE6" w:rsidP="00940FE6">
            <w:pPr>
              <w:spacing w:before="120"/>
              <w:ind w:right="-533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40FE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9269" w:type="dxa"/>
            <w:gridSpan w:val="3"/>
            <w:shd w:val="clear" w:color="auto" w:fill="auto"/>
            <w:vAlign w:val="center"/>
          </w:tcPr>
          <w:p w14:paraId="0910B0D1" w14:textId="7F998C28" w:rsidR="00940FE6" w:rsidRPr="00940FE6" w:rsidRDefault="00940FE6" w:rsidP="00940FE6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40FE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Ēka Nr.2 – Elektrocehs</w:t>
            </w:r>
          </w:p>
        </w:tc>
      </w:tr>
      <w:tr w:rsidR="00940FE6" w:rsidRPr="00BF13E7" w14:paraId="1A893213" w14:textId="77777777" w:rsidTr="00940FE6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0A778657" w14:textId="42B4DB22" w:rsidR="00940FE6" w:rsidRDefault="00940FE6" w:rsidP="00940FE6">
            <w:pPr>
              <w:spacing w:before="120"/>
              <w:ind w:right="-53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2.1</w:t>
            </w:r>
          </w:p>
        </w:tc>
        <w:tc>
          <w:tcPr>
            <w:tcW w:w="7600" w:type="dxa"/>
            <w:shd w:val="clear" w:color="auto" w:fill="auto"/>
            <w:vAlign w:val="center"/>
          </w:tcPr>
          <w:p w14:paraId="266961DE" w14:textId="491B8273" w:rsidR="00940FE6" w:rsidRPr="00BF13E7" w:rsidRDefault="00940FE6" w:rsidP="00940FE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B633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Esošās metāla lietus ūdens </w:t>
            </w:r>
            <w:proofErr w:type="spellStart"/>
            <w:r w:rsidRPr="005B633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noteksistēmas</w:t>
            </w:r>
            <w:proofErr w:type="spellEnd"/>
            <w:r w:rsidRPr="005B633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demontāža ar pacēlāju augstumā h=5m, t.sk. notekas 30m, notekcaurules 28m, āķi un stiprinājumi;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33DC4635" w14:textId="5FED293D" w:rsidR="00940FE6" w:rsidRPr="005B6337" w:rsidRDefault="00940FE6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7E40D0" w14:textId="2853EB05" w:rsidR="00940FE6" w:rsidRDefault="00940FE6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  <w:tr w:rsidR="00940FE6" w:rsidRPr="00BF13E7" w14:paraId="46780B91" w14:textId="77777777" w:rsidTr="00940FE6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63264187" w14:textId="5A5300A7" w:rsidR="00940FE6" w:rsidRDefault="00940FE6" w:rsidP="00940FE6">
            <w:pPr>
              <w:spacing w:before="120"/>
              <w:ind w:right="-53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2.2</w:t>
            </w:r>
          </w:p>
        </w:tc>
        <w:tc>
          <w:tcPr>
            <w:tcW w:w="7600" w:type="dxa"/>
            <w:shd w:val="clear" w:color="auto" w:fill="auto"/>
            <w:vAlign w:val="center"/>
          </w:tcPr>
          <w:p w14:paraId="4DACB149" w14:textId="50C4044B" w:rsidR="00940FE6" w:rsidRPr="00BF13E7" w:rsidRDefault="00940FE6" w:rsidP="00940FE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B633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Karnīzes remontdarbi ar pacēlāju augstumā h=5m, t.sk. bojāta apmetuma nokalšana, sienas gruntēšana, jauna apmetuma ieklāšana, krāsošana;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751A0B71" w14:textId="366B5802" w:rsidR="00940FE6" w:rsidRPr="005B6337" w:rsidRDefault="00940FE6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35EAA9" w14:textId="4F1C071D" w:rsidR="00940FE6" w:rsidRDefault="00940FE6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1.5</w:t>
            </w:r>
          </w:p>
        </w:tc>
      </w:tr>
      <w:tr w:rsidR="00940FE6" w:rsidRPr="00BF13E7" w14:paraId="7B1B280F" w14:textId="77777777" w:rsidTr="00940FE6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20067E5A" w14:textId="7612B86F" w:rsidR="00940FE6" w:rsidRDefault="00940FE6" w:rsidP="00940FE6">
            <w:pPr>
              <w:spacing w:before="120"/>
              <w:ind w:right="-53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2.3</w:t>
            </w:r>
          </w:p>
        </w:tc>
        <w:tc>
          <w:tcPr>
            <w:tcW w:w="7600" w:type="dxa"/>
            <w:shd w:val="clear" w:color="auto" w:fill="auto"/>
            <w:vAlign w:val="center"/>
          </w:tcPr>
          <w:p w14:paraId="342A011D" w14:textId="21DF99C2" w:rsidR="00940FE6" w:rsidRPr="00BF13E7" w:rsidRDefault="00940FE6" w:rsidP="00940FE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B633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Jumta metāla lietus ūdens </w:t>
            </w:r>
            <w:proofErr w:type="spellStart"/>
            <w:r w:rsidRPr="005B633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noteksistēmas</w:t>
            </w:r>
            <w:proofErr w:type="spellEnd"/>
            <w:r w:rsidRPr="005B633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ierīkošana ar pacēlāju augstumā h=5m, t.sk. teknes āķu montāža, notekas D125/100 montāža ar slīpumu 0.003, notekcaurules D100 montāža, krāsa RAL8017 vai līdzīga. Jumta mala garums 30m, augstums no zemes līdz karnīzei 4.7m, paspārnes platums 0.3m;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A7974C6" w14:textId="035571D7" w:rsidR="00940FE6" w:rsidRPr="005B6337" w:rsidRDefault="00940FE6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81B575" w14:textId="7FFD0098" w:rsidR="00940FE6" w:rsidRDefault="00940FE6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  <w:tr w:rsidR="00940FE6" w:rsidRPr="00BF13E7" w14:paraId="7FDFFD58" w14:textId="77777777" w:rsidTr="00132413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58D336FB" w14:textId="5A345C78" w:rsidR="00940FE6" w:rsidRPr="00940FE6" w:rsidRDefault="00940FE6" w:rsidP="00940FE6">
            <w:pPr>
              <w:spacing w:before="120"/>
              <w:ind w:right="-533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40FE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</w:t>
            </w:r>
          </w:p>
        </w:tc>
        <w:tc>
          <w:tcPr>
            <w:tcW w:w="9269" w:type="dxa"/>
            <w:gridSpan w:val="3"/>
            <w:shd w:val="clear" w:color="auto" w:fill="auto"/>
            <w:vAlign w:val="center"/>
          </w:tcPr>
          <w:p w14:paraId="452036B8" w14:textId="2836D273" w:rsidR="00940FE6" w:rsidRPr="00940FE6" w:rsidRDefault="00940FE6" w:rsidP="00940FE6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40FE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Ēka Nr.3 - Noliktava</w:t>
            </w:r>
          </w:p>
        </w:tc>
      </w:tr>
      <w:tr w:rsidR="00940FE6" w:rsidRPr="00BF13E7" w14:paraId="18D57DD0" w14:textId="77777777" w:rsidTr="00940FE6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3FDFA8F4" w14:textId="0303F6FA" w:rsidR="00940FE6" w:rsidRDefault="00940FE6" w:rsidP="00940FE6">
            <w:pPr>
              <w:spacing w:before="120"/>
              <w:ind w:right="-53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3.1</w:t>
            </w:r>
          </w:p>
        </w:tc>
        <w:tc>
          <w:tcPr>
            <w:tcW w:w="7600" w:type="dxa"/>
            <w:shd w:val="clear" w:color="auto" w:fill="auto"/>
            <w:vAlign w:val="center"/>
          </w:tcPr>
          <w:p w14:paraId="026180CC" w14:textId="46C1E5E5" w:rsidR="00940FE6" w:rsidRPr="00BF13E7" w:rsidRDefault="00940FE6" w:rsidP="00940FE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B633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Jumta karnīzes un kārbas remonts  augstumā h=3.4m, t.sk. bojāto koka dēļu nomaiņa F=15m2, </w:t>
            </w:r>
            <w:r w:rsidR="005D7FFB" w:rsidRPr="005B633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pārējo</w:t>
            </w:r>
            <w:r w:rsidRPr="005B633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koka dēļu tīrīšana F=25m2, apstrāde ar </w:t>
            </w:r>
            <w:proofErr w:type="spellStart"/>
            <w:r w:rsidRPr="005B633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antiseptiķi</w:t>
            </w:r>
            <w:proofErr w:type="spellEnd"/>
            <w:r w:rsidRPr="005B633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divās kārtās F=40m2;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7196B1A7" w14:textId="657D4B1B" w:rsidR="00940FE6" w:rsidRPr="005B6337" w:rsidRDefault="00940FE6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2A3F91" w14:textId="2EAB3B42" w:rsidR="00940FE6" w:rsidRDefault="00940FE6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  <w:tr w:rsidR="00940FE6" w:rsidRPr="00BF13E7" w14:paraId="38D1B62A" w14:textId="77777777" w:rsidTr="00707C70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6C4F3830" w14:textId="00050414" w:rsidR="00940FE6" w:rsidRPr="00940FE6" w:rsidRDefault="00940FE6" w:rsidP="00940FE6">
            <w:pPr>
              <w:spacing w:before="120"/>
              <w:ind w:right="-533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40FE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</w:t>
            </w:r>
          </w:p>
        </w:tc>
        <w:tc>
          <w:tcPr>
            <w:tcW w:w="9269" w:type="dxa"/>
            <w:gridSpan w:val="3"/>
            <w:shd w:val="clear" w:color="auto" w:fill="auto"/>
            <w:vAlign w:val="center"/>
          </w:tcPr>
          <w:p w14:paraId="70B70899" w14:textId="4EB48FFF" w:rsidR="00940FE6" w:rsidRPr="00940FE6" w:rsidRDefault="00940FE6" w:rsidP="00940FE6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40FE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Ēka Nr.4 - Operatoru ēka</w:t>
            </w:r>
          </w:p>
        </w:tc>
      </w:tr>
      <w:tr w:rsidR="00940FE6" w:rsidRPr="00BF13E7" w14:paraId="4ED80FB9" w14:textId="77777777" w:rsidTr="00940FE6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2CC0C72B" w14:textId="43A958E3" w:rsidR="00940FE6" w:rsidRDefault="00940FE6" w:rsidP="00940FE6">
            <w:pPr>
              <w:spacing w:before="120"/>
              <w:ind w:right="-53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</w:t>
            </w:r>
          </w:p>
        </w:tc>
        <w:tc>
          <w:tcPr>
            <w:tcW w:w="7600" w:type="dxa"/>
            <w:shd w:val="clear" w:color="auto" w:fill="auto"/>
            <w:vAlign w:val="center"/>
          </w:tcPr>
          <w:p w14:paraId="7AA5763D" w14:textId="11E2D4B1" w:rsidR="00940FE6" w:rsidRPr="00BF13E7" w:rsidRDefault="00940FE6" w:rsidP="00940FE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B633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Jumta karnīzes remonts ar pacēlāju augstumā h=6m, t.sk. esošā vējdēļa akurāta demontāža, fasādes dēļa nomaiņa, vējdēļa montāža;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38B60489" w14:textId="00B18AC4" w:rsidR="00940FE6" w:rsidRPr="005B6337" w:rsidRDefault="00940FE6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D8D7B5" w14:textId="36252FA9" w:rsidR="00940FE6" w:rsidRDefault="00940FE6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  <w:tr w:rsidR="00940FE6" w:rsidRPr="00FE7F48" w14:paraId="3C89984E" w14:textId="77777777" w:rsidTr="00DA52C5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530E50B0" w14:textId="0EE497F0" w:rsidR="00940FE6" w:rsidRPr="00940FE6" w:rsidRDefault="00940FE6" w:rsidP="00940FE6">
            <w:pPr>
              <w:spacing w:before="120"/>
              <w:ind w:right="-533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40FE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</w:t>
            </w:r>
          </w:p>
        </w:tc>
        <w:tc>
          <w:tcPr>
            <w:tcW w:w="9269" w:type="dxa"/>
            <w:gridSpan w:val="3"/>
            <w:shd w:val="clear" w:color="auto" w:fill="auto"/>
            <w:vAlign w:val="center"/>
          </w:tcPr>
          <w:p w14:paraId="794DE651" w14:textId="415381B6" w:rsidR="00940FE6" w:rsidRPr="00940FE6" w:rsidRDefault="00940FE6" w:rsidP="00940FE6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40FE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Ēka Nr.5 - Remont-meh</w:t>
            </w:r>
            <w:r w:rsidR="004952B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ā</w:t>
            </w:r>
            <w:r w:rsidRPr="00940FE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niskā darbnīca</w:t>
            </w:r>
          </w:p>
        </w:tc>
      </w:tr>
      <w:tr w:rsidR="00940FE6" w:rsidRPr="00BF13E7" w14:paraId="476784B0" w14:textId="77777777" w:rsidTr="00940FE6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7A18314E" w14:textId="2CD3E749" w:rsidR="00940FE6" w:rsidRDefault="00940FE6" w:rsidP="00940FE6">
            <w:pPr>
              <w:spacing w:before="120"/>
              <w:ind w:right="-53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5.1</w:t>
            </w:r>
          </w:p>
        </w:tc>
        <w:tc>
          <w:tcPr>
            <w:tcW w:w="7600" w:type="dxa"/>
            <w:shd w:val="clear" w:color="auto" w:fill="auto"/>
            <w:vAlign w:val="center"/>
          </w:tcPr>
          <w:p w14:paraId="0D28700E" w14:textId="70EE2C77" w:rsidR="00940FE6" w:rsidRPr="00BF13E7" w:rsidRDefault="00940FE6" w:rsidP="00940FE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B633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Kausējuma jumta seguma remonts, t. sk. virsmas attīrīšana un apstrāde ar bitumena grunti, jaunā uzkausējuma </w:t>
            </w:r>
            <w:proofErr w:type="spellStart"/>
            <w:r w:rsidRPr="005B633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ruļļveida</w:t>
            </w:r>
            <w:proofErr w:type="spellEnd"/>
            <w:r w:rsidRPr="005B633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materiāla ierīkošana vienā slānī;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35F8028" w14:textId="2442424D" w:rsidR="00940FE6" w:rsidRPr="005B6337" w:rsidRDefault="00940FE6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 w:rsidRPr="005B633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C46BC6" w14:textId="1CF63820" w:rsidR="00940FE6" w:rsidRDefault="00940FE6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</w:tr>
      <w:tr w:rsidR="00940FE6" w:rsidRPr="00BF13E7" w14:paraId="72465219" w14:textId="77777777" w:rsidTr="00940FE6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5365A3DE" w14:textId="72A59565" w:rsidR="00940FE6" w:rsidRDefault="00940FE6" w:rsidP="00940FE6">
            <w:pPr>
              <w:spacing w:before="120"/>
              <w:ind w:right="-53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5.2</w:t>
            </w:r>
          </w:p>
        </w:tc>
        <w:tc>
          <w:tcPr>
            <w:tcW w:w="7600" w:type="dxa"/>
            <w:shd w:val="clear" w:color="auto" w:fill="auto"/>
            <w:vAlign w:val="center"/>
          </w:tcPr>
          <w:p w14:paraId="7D4C56AF" w14:textId="358DB29B" w:rsidR="00940FE6" w:rsidRPr="005B6337" w:rsidRDefault="00940FE6" w:rsidP="00940FE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B633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Bojātas sienas remonts, t.sk. plaisas pildīšana ar remonta cementa javu;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74A66C03" w14:textId="6F6EF78F" w:rsidR="00940FE6" w:rsidRDefault="00940FE6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 w:rsidRPr="005B633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8A936C" w14:textId="467A8DE1" w:rsidR="00940FE6" w:rsidRDefault="00940FE6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0.03</w:t>
            </w:r>
          </w:p>
        </w:tc>
      </w:tr>
      <w:tr w:rsidR="00940FE6" w:rsidRPr="00BF13E7" w14:paraId="6B3C835C" w14:textId="77777777" w:rsidTr="00940FE6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06C87894" w14:textId="55614145" w:rsidR="00940FE6" w:rsidRDefault="00940FE6" w:rsidP="00940FE6">
            <w:pPr>
              <w:spacing w:before="120"/>
              <w:ind w:right="-53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5.3</w:t>
            </w:r>
          </w:p>
        </w:tc>
        <w:tc>
          <w:tcPr>
            <w:tcW w:w="7600" w:type="dxa"/>
            <w:shd w:val="clear" w:color="auto" w:fill="auto"/>
            <w:vAlign w:val="center"/>
          </w:tcPr>
          <w:p w14:paraId="53C66B01" w14:textId="69AE6CDF" w:rsidR="00940FE6" w:rsidRPr="00BF13E7" w:rsidRDefault="00940FE6" w:rsidP="00940FE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B633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Lietus ūdens teknes lokālais remonts;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7E03E9C4" w14:textId="6393A3B1" w:rsidR="00940FE6" w:rsidRPr="005B6337" w:rsidRDefault="00940FE6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2BED53" w14:textId="31FBA0BB" w:rsidR="00940FE6" w:rsidRDefault="00940FE6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2.00</w:t>
            </w:r>
          </w:p>
        </w:tc>
      </w:tr>
      <w:tr w:rsidR="00940FE6" w:rsidRPr="00BF13E7" w14:paraId="0EC88ECD" w14:textId="77777777" w:rsidTr="00854B7D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3AEED649" w14:textId="1179B3C2" w:rsidR="00940FE6" w:rsidRPr="00940FE6" w:rsidRDefault="00940FE6" w:rsidP="00940FE6">
            <w:pPr>
              <w:spacing w:before="120"/>
              <w:ind w:right="-533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40FE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</w:t>
            </w:r>
          </w:p>
        </w:tc>
        <w:tc>
          <w:tcPr>
            <w:tcW w:w="9269" w:type="dxa"/>
            <w:gridSpan w:val="3"/>
            <w:shd w:val="clear" w:color="auto" w:fill="auto"/>
            <w:vAlign w:val="center"/>
          </w:tcPr>
          <w:p w14:paraId="20AFAE90" w14:textId="3D1A2A85" w:rsidR="00940FE6" w:rsidRPr="00940FE6" w:rsidRDefault="00940FE6" w:rsidP="00940FE6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40FE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Ēka Nr.6 - Centrālā noliktava</w:t>
            </w:r>
          </w:p>
        </w:tc>
      </w:tr>
      <w:tr w:rsidR="00940FE6" w:rsidRPr="00BF13E7" w14:paraId="316D2800" w14:textId="77777777" w:rsidTr="00940FE6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77DEC55B" w14:textId="022BDD32" w:rsidR="00940FE6" w:rsidRDefault="00940FE6" w:rsidP="00940FE6">
            <w:pPr>
              <w:spacing w:before="120"/>
              <w:ind w:right="-53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6.1</w:t>
            </w:r>
          </w:p>
        </w:tc>
        <w:tc>
          <w:tcPr>
            <w:tcW w:w="7600" w:type="dxa"/>
            <w:shd w:val="clear" w:color="auto" w:fill="auto"/>
            <w:vAlign w:val="center"/>
          </w:tcPr>
          <w:p w14:paraId="38461E88" w14:textId="7A9374E8" w:rsidR="00940FE6" w:rsidRPr="005B6337" w:rsidRDefault="00940FE6" w:rsidP="00940FE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B633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Ēka Nr.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6. </w:t>
            </w:r>
            <w:r w:rsidRPr="005B633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Jumta karnīzes remonts ar pacēlāju augstumā h=6m, t.sk. esošā v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ē</w:t>
            </w:r>
            <w:r w:rsidRPr="005B633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jdēļa un fasādes dēļu nomaiņa, krāsošana;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750E2597" w14:textId="50AD90C5" w:rsidR="00940FE6" w:rsidRDefault="00940FE6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 w:rsidRPr="005B633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C4F80F" w14:textId="341FCC59" w:rsidR="00940FE6" w:rsidRDefault="00940FE6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</w:tr>
      <w:tr w:rsidR="00940FE6" w:rsidRPr="00BF13E7" w14:paraId="4D4599D8" w14:textId="77777777" w:rsidTr="00940FE6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63AD2638" w14:textId="2FDE14A6" w:rsidR="00940FE6" w:rsidRDefault="00940FE6" w:rsidP="00940FE6">
            <w:pPr>
              <w:spacing w:before="120"/>
              <w:ind w:right="-53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6.2</w:t>
            </w:r>
          </w:p>
        </w:tc>
        <w:tc>
          <w:tcPr>
            <w:tcW w:w="7600" w:type="dxa"/>
            <w:shd w:val="clear" w:color="auto" w:fill="auto"/>
            <w:vAlign w:val="center"/>
          </w:tcPr>
          <w:p w14:paraId="04A00FA2" w14:textId="6C0CC3B9" w:rsidR="00940FE6" w:rsidRPr="005B6337" w:rsidRDefault="00940FE6" w:rsidP="00940FE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B633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Lietus ūdens teknes lokālais remonts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0B8472CD" w14:textId="40BD7822" w:rsidR="00940FE6" w:rsidRDefault="00940FE6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34D7BE" w14:textId="3FB687CB" w:rsidR="00940FE6" w:rsidRDefault="00940FE6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2.00</w:t>
            </w:r>
          </w:p>
        </w:tc>
      </w:tr>
      <w:tr w:rsidR="00940FE6" w:rsidRPr="00BF13E7" w14:paraId="2A10EF01" w14:textId="77777777" w:rsidTr="00940FE6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7C30081D" w14:textId="3DA26447" w:rsidR="00940FE6" w:rsidRPr="004952BA" w:rsidRDefault="00940FE6" w:rsidP="00940FE6">
            <w:pPr>
              <w:spacing w:before="120"/>
              <w:ind w:right="-533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952B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</w:t>
            </w:r>
          </w:p>
        </w:tc>
        <w:tc>
          <w:tcPr>
            <w:tcW w:w="7600" w:type="dxa"/>
            <w:shd w:val="clear" w:color="auto" w:fill="auto"/>
            <w:vAlign w:val="center"/>
          </w:tcPr>
          <w:p w14:paraId="59B42A7C" w14:textId="6D8A230B" w:rsidR="00940FE6" w:rsidRPr="005B6337" w:rsidRDefault="00940FE6" w:rsidP="00940FE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B633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Būvgružu savākšana un utilizācija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FCEAAE4" w14:textId="5EC0B0DD" w:rsidR="00940FE6" w:rsidRDefault="00940FE6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7ED07B" w14:textId="214DE6DA" w:rsidR="00940FE6" w:rsidRDefault="00940FE6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  <w:tr w:rsidR="00940FE6" w:rsidRPr="00BF13E7" w14:paraId="354F2EC2" w14:textId="77777777" w:rsidTr="00940FE6">
        <w:trPr>
          <w:trHeight w:val="465"/>
          <w:jc w:val="right"/>
        </w:trPr>
        <w:tc>
          <w:tcPr>
            <w:tcW w:w="750" w:type="dxa"/>
            <w:shd w:val="clear" w:color="auto" w:fill="auto"/>
            <w:vAlign w:val="center"/>
          </w:tcPr>
          <w:p w14:paraId="385B8370" w14:textId="6373E333" w:rsidR="00940FE6" w:rsidRPr="004952BA" w:rsidRDefault="00940FE6" w:rsidP="00940FE6">
            <w:pPr>
              <w:spacing w:before="120"/>
              <w:ind w:right="-533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952B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8</w:t>
            </w:r>
          </w:p>
        </w:tc>
        <w:tc>
          <w:tcPr>
            <w:tcW w:w="7600" w:type="dxa"/>
            <w:shd w:val="clear" w:color="auto" w:fill="auto"/>
            <w:vAlign w:val="center"/>
          </w:tcPr>
          <w:p w14:paraId="29CE31F6" w14:textId="1ACC654D" w:rsidR="00940FE6" w:rsidRPr="005B6337" w:rsidRDefault="00940FE6" w:rsidP="00940FE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B633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Darba aizsardzības plāna un vides risku novērtējuma izstrāde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65F6EC6" w14:textId="7FEBC92A" w:rsidR="00940FE6" w:rsidRDefault="00940FE6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299BE9" w14:textId="13913A82" w:rsidR="00940FE6" w:rsidRDefault="00940FE6" w:rsidP="00940FE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</w:tbl>
    <w:p w14:paraId="62DCA780" w14:textId="77777777" w:rsidR="00FB26FA" w:rsidRPr="00183370" w:rsidRDefault="00FB26FA" w:rsidP="00C6138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612B5BD" w14:textId="77777777" w:rsidR="00180ABC" w:rsidRPr="00183370" w:rsidRDefault="00180ABC" w:rsidP="006A19D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b/>
          <w:sz w:val="24"/>
          <w:szCs w:val="24"/>
          <w:lang w:val="lv-LV"/>
        </w:rPr>
        <w:t>Vispārējas prasības:</w:t>
      </w:r>
    </w:p>
    <w:p w14:paraId="56D2DE23" w14:textId="77777777" w:rsidR="00FF5397" w:rsidRPr="00183370" w:rsidRDefault="00FF5397" w:rsidP="009146C8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Pirms darbu</w:t>
      </w:r>
      <w:r w:rsidR="00E66BFA" w:rsidRPr="00183370">
        <w:rPr>
          <w:rFonts w:ascii="Times New Roman" w:hAnsi="Times New Roman" w:cs="Times New Roman"/>
          <w:sz w:val="24"/>
          <w:szCs w:val="24"/>
          <w:lang w:val="lv-LV"/>
        </w:rPr>
        <w:t xml:space="preserve"> uzsākšanas jāsaņem </w:t>
      </w:r>
      <w:r w:rsidR="0065439D" w:rsidRPr="00183370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E66BFA" w:rsidRPr="00183370">
        <w:rPr>
          <w:rFonts w:ascii="Times New Roman" w:hAnsi="Times New Roman" w:cs="Times New Roman"/>
          <w:sz w:val="24"/>
          <w:szCs w:val="24"/>
          <w:lang w:val="lv-LV"/>
        </w:rPr>
        <w:t>tļauja darbu veikšanai SIA “LatRosTrans” objekt</w:t>
      </w:r>
      <w:r w:rsidR="001D1589" w:rsidRPr="00183370">
        <w:rPr>
          <w:rFonts w:ascii="Times New Roman" w:hAnsi="Times New Roman" w:cs="Times New Roman"/>
          <w:sz w:val="24"/>
          <w:szCs w:val="24"/>
          <w:lang w:val="lv-LV"/>
        </w:rPr>
        <w:t>os</w:t>
      </w:r>
      <w:r w:rsidR="00E66BFA" w:rsidRPr="00183370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72A0D3AE" w14:textId="77777777" w:rsidR="00E66BFA" w:rsidRPr="00183370" w:rsidRDefault="00E66BFA" w:rsidP="009146C8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 xml:space="preserve">Pirms ugunsbīstamo darbu veikšanas (t.sk. metāla griešana ar leņķa slīpmašīnu) jānoformē norīkojums ugunsbīstamo darbu veikšanai, jānodrošina ugunsdzēsības līdzekļu </w:t>
      </w:r>
      <w:r w:rsidR="006A19D1" w:rsidRPr="00183370">
        <w:rPr>
          <w:rFonts w:ascii="Times New Roman" w:hAnsi="Times New Roman" w:cs="Times New Roman"/>
          <w:sz w:val="24"/>
          <w:szCs w:val="24"/>
          <w:lang w:val="lv-LV"/>
        </w:rPr>
        <w:t>esamību un darba aizsardzības noteikumu ievērošanu. Pēc ugunsbīstamo darbu pabeigšanas jāorganizē ugunsbīstamo darbu veikšanas vietas uzraudzību 4 stundu laikā;</w:t>
      </w:r>
    </w:p>
    <w:p w14:paraId="1EE5BACA" w14:textId="77777777" w:rsidR="00180ABC" w:rsidRDefault="006A19D1" w:rsidP="00180ABC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Remont</w:t>
      </w:r>
      <w:r w:rsidR="00180ABC" w:rsidRPr="00183370">
        <w:rPr>
          <w:rFonts w:ascii="Times New Roman" w:hAnsi="Times New Roman" w:cs="Times New Roman"/>
          <w:sz w:val="24"/>
          <w:szCs w:val="24"/>
          <w:lang w:val="lv-LV"/>
        </w:rPr>
        <w:t>darbi jāorganizē tā, lai tie pēc iespējas m</w:t>
      </w:r>
      <w:r w:rsidR="00C62B08" w:rsidRPr="00183370">
        <w:rPr>
          <w:rFonts w:ascii="Times New Roman" w:hAnsi="Times New Roman" w:cs="Times New Roman"/>
          <w:sz w:val="24"/>
          <w:szCs w:val="24"/>
          <w:lang w:val="lv-LV"/>
        </w:rPr>
        <w:t>azāk traucētu uzņēmuma darbībai;</w:t>
      </w:r>
    </w:p>
    <w:p w14:paraId="7027E7A7" w14:textId="686DF1F0" w:rsidR="00DB3DB8" w:rsidRDefault="00DB3DB8" w:rsidP="00DB3DB8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</w:t>
      </w:r>
      <w:r w:rsidRPr="00DB3DB8">
        <w:rPr>
          <w:rFonts w:ascii="Times New Roman" w:hAnsi="Times New Roman" w:cs="Times New Roman"/>
          <w:sz w:val="24"/>
          <w:szCs w:val="24"/>
          <w:lang w:val="lv-LV"/>
        </w:rPr>
        <w:t xml:space="preserve">arbuzņēmēja nodarbinātajiem tiks nodrošinātas </w:t>
      </w:r>
      <w:r>
        <w:rPr>
          <w:rFonts w:ascii="Times New Roman" w:hAnsi="Times New Roman" w:cs="Times New Roman"/>
          <w:sz w:val="24"/>
          <w:szCs w:val="24"/>
          <w:lang w:val="lv-LV"/>
        </w:rPr>
        <w:t>sanitārās un higiēnas prasības, t.sk. ģērbtuve, tualete, dzeramais</w:t>
      </w:r>
      <w:r w:rsidRPr="00DB3DB8">
        <w:rPr>
          <w:rFonts w:ascii="Times New Roman" w:hAnsi="Times New Roman" w:cs="Times New Roman"/>
          <w:sz w:val="24"/>
          <w:szCs w:val="24"/>
          <w:lang w:val="lv-LV"/>
        </w:rPr>
        <w:t xml:space="preserve"> ūdens</w:t>
      </w:r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54EFC326" w14:textId="77777777" w:rsidR="003C599F" w:rsidRPr="00C30C45" w:rsidRDefault="003C599F" w:rsidP="003C599F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Pielietojamiem </w:t>
      </w:r>
      <w:r w:rsidRPr="00C30C45">
        <w:rPr>
          <w:rFonts w:ascii="Times New Roman" w:hAnsi="Times New Roman" w:cs="Times New Roman"/>
          <w:sz w:val="24"/>
          <w:szCs w:val="24"/>
          <w:lang w:val="lv-LV"/>
        </w:rPr>
        <w:t xml:space="preserve">būvizstrādājumiem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r w:rsidRPr="00C30C45">
        <w:rPr>
          <w:rFonts w:ascii="Times New Roman" w:hAnsi="Times New Roman" w:cs="Times New Roman"/>
          <w:sz w:val="24"/>
          <w:szCs w:val="24"/>
          <w:lang w:val="lv-LV"/>
        </w:rPr>
        <w:t>konstrukcijām jābūt racionāliem un tehniski-ekonomiski pamatotiem;</w:t>
      </w:r>
    </w:p>
    <w:p w14:paraId="60D64244" w14:textId="1EEF7760" w:rsidR="003C599F" w:rsidRPr="003C599F" w:rsidRDefault="003C599F" w:rsidP="003C599F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C599F">
        <w:rPr>
          <w:rFonts w:ascii="Times New Roman" w:hAnsi="Times New Roman" w:cs="Times New Roman"/>
          <w:sz w:val="24"/>
          <w:szCs w:val="24"/>
          <w:lang w:val="lv-LV"/>
        </w:rPr>
        <w:t>Pēc būvdarbu veikšanas iesniegt pasūtītājam pielietotu būvizst</w:t>
      </w:r>
      <w:r w:rsidR="004952BA">
        <w:rPr>
          <w:rFonts w:ascii="Times New Roman" w:hAnsi="Times New Roman" w:cs="Times New Roman"/>
          <w:sz w:val="24"/>
          <w:szCs w:val="24"/>
          <w:lang w:val="lv-LV"/>
        </w:rPr>
        <w:t>rādājumu ekspluatācijas īpašību</w:t>
      </w:r>
      <w:r w:rsidRPr="003C599F">
        <w:rPr>
          <w:rFonts w:ascii="Times New Roman" w:hAnsi="Times New Roman" w:cs="Times New Roman"/>
          <w:sz w:val="24"/>
          <w:szCs w:val="24"/>
          <w:lang w:val="lv-LV"/>
        </w:rPr>
        <w:t xml:space="preserve"> deklarācijas;</w:t>
      </w:r>
    </w:p>
    <w:p w14:paraId="6E3BA588" w14:textId="77777777" w:rsidR="00914C91" w:rsidRPr="00183370" w:rsidRDefault="00914C91" w:rsidP="003C599F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 xml:space="preserve">Paredzamais būvdarbu izpildes termiņš </w:t>
      </w:r>
      <w:r w:rsidR="00370007">
        <w:rPr>
          <w:rFonts w:ascii="Times New Roman" w:hAnsi="Times New Roman" w:cs="Times New Roman"/>
          <w:sz w:val="24"/>
          <w:szCs w:val="24"/>
          <w:lang w:val="lv-LV"/>
        </w:rPr>
        <w:t>maijs</w:t>
      </w:r>
      <w:r w:rsidR="00FD201C" w:rsidRPr="00183370"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9146C8" w:rsidRPr="00183370">
        <w:rPr>
          <w:rFonts w:ascii="Times New Roman" w:hAnsi="Times New Roman" w:cs="Times New Roman"/>
          <w:sz w:val="24"/>
          <w:szCs w:val="24"/>
          <w:lang w:val="lv-LV"/>
        </w:rPr>
        <w:t>septembris</w:t>
      </w:r>
      <w:r w:rsidR="00FD201C" w:rsidRPr="00183370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014A3D8F" w14:textId="77777777" w:rsidR="005E6FA3" w:rsidRPr="00183370" w:rsidRDefault="005E6FA3" w:rsidP="005E6FA3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182840D6" w14:textId="3202E0B3" w:rsidR="003924E2" w:rsidRPr="00183370" w:rsidRDefault="00061A81" w:rsidP="003C599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b/>
          <w:sz w:val="24"/>
          <w:szCs w:val="24"/>
          <w:lang w:val="lv-LV"/>
        </w:rPr>
        <w:t>Prasības finanšu piedāvājum</w:t>
      </w:r>
      <w:r w:rsidR="004952BA">
        <w:rPr>
          <w:rFonts w:ascii="Times New Roman" w:hAnsi="Times New Roman" w:cs="Times New Roman"/>
          <w:b/>
          <w:sz w:val="24"/>
          <w:szCs w:val="24"/>
          <w:lang w:val="lv-LV"/>
        </w:rPr>
        <w:t>a sagatavošanai</w:t>
      </w:r>
      <w:r w:rsidR="003924E2" w:rsidRPr="00183370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14:paraId="5B4C19D3" w14:textId="77777777" w:rsidR="00B64C84" w:rsidRPr="00183370" w:rsidRDefault="00B64C84" w:rsidP="003C599F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Pirms finanšu piedāvājuma sastādīšanas apmeklēt objektu, veikt objekta apsekošanu, darbu apjomu pārbaudi un precizējumu;</w:t>
      </w:r>
    </w:p>
    <w:p w14:paraId="11878EF5" w14:textId="77777777" w:rsidR="00B64C84" w:rsidRPr="00183370" w:rsidRDefault="00B64C84" w:rsidP="003C599F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Pretendentiem savā piedāvājumā jāietver būvniecības izmaksu aprēķins – lokāla tāme. Tāme jāizstrādā saskaņā ar Ministru kabineta noteikumiem Nr.239, Noteikumi par Latvijas būvnormatīvu LBN 501-17 "</w:t>
      </w:r>
      <w:proofErr w:type="spellStart"/>
      <w:r w:rsidRPr="00183370">
        <w:rPr>
          <w:rFonts w:ascii="Times New Roman" w:hAnsi="Times New Roman" w:cs="Times New Roman"/>
          <w:sz w:val="24"/>
          <w:szCs w:val="24"/>
          <w:lang w:val="lv-LV"/>
        </w:rPr>
        <w:t>Būvizmaksu</w:t>
      </w:r>
      <w:proofErr w:type="spellEnd"/>
      <w:r w:rsidRPr="00183370">
        <w:rPr>
          <w:rFonts w:ascii="Times New Roman" w:hAnsi="Times New Roman" w:cs="Times New Roman"/>
          <w:sz w:val="24"/>
          <w:szCs w:val="24"/>
          <w:lang w:val="lv-LV"/>
        </w:rPr>
        <w:t xml:space="preserve"> noteikšanas kārtība";</w:t>
      </w:r>
    </w:p>
    <w:p w14:paraId="1883F9F7" w14:textId="77777777" w:rsidR="00B64C84" w:rsidRPr="00183370" w:rsidRDefault="00B64C84" w:rsidP="003C599F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Piedāvājumā jānorada avansa apmēru;</w:t>
      </w:r>
    </w:p>
    <w:p w14:paraId="1A192B9C" w14:textId="77777777" w:rsidR="00B64C84" w:rsidRPr="00183370" w:rsidRDefault="00B64C84" w:rsidP="003C599F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 xml:space="preserve">Piedāvājumam jāpievieno būvizstrādājumu </w:t>
      </w:r>
      <w:r w:rsidR="0047444B">
        <w:rPr>
          <w:rFonts w:ascii="Times New Roman" w:hAnsi="Times New Roman" w:cs="Times New Roman"/>
          <w:sz w:val="24"/>
          <w:szCs w:val="24"/>
          <w:lang w:val="lv-LV"/>
        </w:rPr>
        <w:t>un būvdarbu garantijas laiks, kā</w:t>
      </w:r>
      <w:r w:rsidRPr="00183370">
        <w:rPr>
          <w:rFonts w:ascii="Times New Roman" w:hAnsi="Times New Roman" w:cs="Times New Roman"/>
          <w:sz w:val="24"/>
          <w:szCs w:val="24"/>
          <w:lang w:val="lv-LV"/>
        </w:rPr>
        <w:t xml:space="preserve"> arī garantijas nosacījumi;</w:t>
      </w:r>
    </w:p>
    <w:p w14:paraId="52AABFF6" w14:textId="77777777" w:rsidR="00B64C84" w:rsidRPr="00183370" w:rsidRDefault="00B64C84" w:rsidP="003C599F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Minimālais piedāvājuma derīguma termiņš – 60 dienas;</w:t>
      </w:r>
    </w:p>
    <w:p w14:paraId="7B93145C" w14:textId="77777777" w:rsidR="000150A0" w:rsidRPr="00183370" w:rsidRDefault="000150A0" w:rsidP="000150A0">
      <w:pPr>
        <w:pStyle w:val="ListParagraph"/>
        <w:spacing w:after="120" w:line="240" w:lineRule="auto"/>
        <w:ind w:left="573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480FF03" w14:textId="77777777" w:rsidR="001812B7" w:rsidRPr="00183370" w:rsidRDefault="001812B7" w:rsidP="00F55465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14:paraId="73C3FE03" w14:textId="77777777" w:rsidR="005261C2" w:rsidRPr="00183370" w:rsidRDefault="005261C2" w:rsidP="00DD3345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14:paraId="40F4B6D2" w14:textId="77777777" w:rsidR="00DD3345" w:rsidRPr="00183370" w:rsidRDefault="00DD3345" w:rsidP="00DD3345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sz w:val="24"/>
          <w:szCs w:val="24"/>
          <w:lang w:val="lv-LV"/>
        </w:rPr>
        <w:t>SIA “LatRosTrans”</w:t>
      </w:r>
    </w:p>
    <w:p w14:paraId="07166857" w14:textId="77777777" w:rsidR="00DD3345" w:rsidRPr="00183370" w:rsidRDefault="006F3C93" w:rsidP="00DD3345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Vecākais b</w:t>
      </w:r>
      <w:r w:rsidR="00DD3345" w:rsidRPr="00183370">
        <w:rPr>
          <w:rFonts w:ascii="Times New Roman" w:hAnsi="Times New Roman" w:cs="Times New Roman"/>
          <w:sz w:val="24"/>
          <w:szCs w:val="24"/>
          <w:lang w:val="lv-LV"/>
        </w:rPr>
        <w:t xml:space="preserve">ūvinženieris </w:t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183370"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spellStart"/>
      <w:r w:rsidR="00DD3345" w:rsidRPr="00183370">
        <w:rPr>
          <w:rFonts w:ascii="Times New Roman" w:hAnsi="Times New Roman" w:cs="Times New Roman"/>
          <w:sz w:val="24"/>
          <w:szCs w:val="24"/>
          <w:lang w:val="lv-LV"/>
        </w:rPr>
        <w:t>V.Kazačonoks</w:t>
      </w:r>
      <w:proofErr w:type="spellEnd"/>
    </w:p>
    <w:sectPr w:rsidR="00DD3345" w:rsidRPr="00183370" w:rsidSect="005E6FA3">
      <w:footerReference w:type="default" r:id="rId8"/>
      <w:pgSz w:w="12240" w:h="15840"/>
      <w:pgMar w:top="851" w:right="851" w:bottom="907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22975" w14:textId="77777777" w:rsidR="00ED5AA0" w:rsidRDefault="00ED5AA0" w:rsidP="00F55465">
      <w:pPr>
        <w:spacing w:after="0" w:line="240" w:lineRule="auto"/>
      </w:pPr>
      <w:r>
        <w:separator/>
      </w:r>
    </w:p>
  </w:endnote>
  <w:endnote w:type="continuationSeparator" w:id="0">
    <w:p w14:paraId="2E598D4E" w14:textId="77777777" w:rsidR="00ED5AA0" w:rsidRDefault="00ED5AA0" w:rsidP="00F5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00576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A27BAEF" w14:textId="77777777" w:rsidR="00487039" w:rsidRDefault="00ED5AA0">
        <w:pPr>
          <w:pStyle w:val="Footer"/>
          <w:jc w:val="right"/>
          <w:rPr>
            <w:rFonts w:ascii="Times New Roman" w:hAnsi="Times New Roman" w:cs="Times New Roman"/>
            <w:noProof/>
          </w:rPr>
        </w:pPr>
        <w:r w:rsidRPr="003409F4">
          <w:rPr>
            <w:rFonts w:ascii="Times New Roman" w:hAnsi="Times New Roman" w:cs="Times New Roman"/>
          </w:rPr>
          <w:fldChar w:fldCharType="begin"/>
        </w:r>
        <w:r w:rsidRPr="003409F4">
          <w:rPr>
            <w:rFonts w:ascii="Times New Roman" w:hAnsi="Times New Roman" w:cs="Times New Roman"/>
          </w:rPr>
          <w:instrText xml:space="preserve"> PAGE   \* MERGEFORMAT </w:instrText>
        </w:r>
        <w:r w:rsidRPr="003409F4">
          <w:rPr>
            <w:rFonts w:ascii="Times New Roman" w:hAnsi="Times New Roman" w:cs="Times New Roman"/>
          </w:rPr>
          <w:fldChar w:fldCharType="separate"/>
        </w:r>
        <w:r w:rsidR="00FE7F48">
          <w:rPr>
            <w:rFonts w:ascii="Times New Roman" w:hAnsi="Times New Roman" w:cs="Times New Roman"/>
            <w:noProof/>
          </w:rPr>
          <w:t>1</w:t>
        </w:r>
        <w:r w:rsidRPr="003409F4">
          <w:rPr>
            <w:rFonts w:ascii="Times New Roman" w:hAnsi="Times New Roman" w:cs="Times New Roman"/>
            <w:noProof/>
          </w:rPr>
          <w:fldChar w:fldCharType="end"/>
        </w:r>
        <w:r w:rsidRPr="003409F4">
          <w:rPr>
            <w:rFonts w:ascii="Times New Roman" w:hAnsi="Times New Roman" w:cs="Times New Roman"/>
            <w:noProof/>
          </w:rPr>
          <w:t xml:space="preserve">. lpp no </w:t>
        </w:r>
        <w:r w:rsidR="00486A2B">
          <w:rPr>
            <w:rFonts w:ascii="Times New Roman" w:hAnsi="Times New Roman" w:cs="Times New Roman"/>
            <w:noProof/>
          </w:rPr>
          <w:t>2</w:t>
        </w:r>
      </w:p>
      <w:p w14:paraId="713B510B" w14:textId="77777777" w:rsidR="00ED5AA0" w:rsidRPr="003409F4" w:rsidRDefault="00FE7F48">
        <w:pPr>
          <w:pStyle w:val="Footer"/>
          <w:jc w:val="right"/>
          <w:rPr>
            <w:rFonts w:ascii="Times New Roman" w:hAnsi="Times New Roman" w:cs="Times New Roman"/>
          </w:rPr>
        </w:pPr>
      </w:p>
    </w:sdtContent>
  </w:sdt>
  <w:p w14:paraId="0BA0F442" w14:textId="77777777" w:rsidR="00ED5AA0" w:rsidRDefault="00ED5A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D811D" w14:textId="77777777" w:rsidR="00ED5AA0" w:rsidRDefault="00ED5AA0" w:rsidP="00F55465">
      <w:pPr>
        <w:spacing w:after="0" w:line="240" w:lineRule="auto"/>
      </w:pPr>
      <w:r>
        <w:separator/>
      </w:r>
    </w:p>
  </w:footnote>
  <w:footnote w:type="continuationSeparator" w:id="0">
    <w:p w14:paraId="21699F29" w14:textId="77777777" w:rsidR="00ED5AA0" w:rsidRDefault="00ED5AA0" w:rsidP="00F55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4937"/>
    <w:multiLevelType w:val="hybridMultilevel"/>
    <w:tmpl w:val="C1D818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458DB"/>
    <w:multiLevelType w:val="multilevel"/>
    <w:tmpl w:val="FF563E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063375BE"/>
    <w:multiLevelType w:val="hybridMultilevel"/>
    <w:tmpl w:val="90F80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D61DC"/>
    <w:multiLevelType w:val="hybridMultilevel"/>
    <w:tmpl w:val="84F66D48"/>
    <w:lvl w:ilvl="0" w:tplc="3A4014E8">
      <w:numFmt w:val="bullet"/>
      <w:lvlText w:val="-"/>
      <w:lvlJc w:val="left"/>
      <w:pPr>
        <w:ind w:left="1152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0D4E1301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D12F33"/>
    <w:multiLevelType w:val="hybridMultilevel"/>
    <w:tmpl w:val="F7C4AA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D94FDB"/>
    <w:multiLevelType w:val="hybridMultilevel"/>
    <w:tmpl w:val="7A1ADA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EA7E8E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0F6A45"/>
    <w:multiLevelType w:val="multilevel"/>
    <w:tmpl w:val="E44CC6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9" w15:restartNumberingAfterBreak="0">
    <w:nsid w:val="28841C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5C865EB"/>
    <w:multiLevelType w:val="hybridMultilevel"/>
    <w:tmpl w:val="7AF44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05642D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0710D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21A31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A03964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D8A6C9C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10"/>
  </w:num>
  <w:num w:numId="10">
    <w:abstractNumId w:val="6"/>
  </w:num>
  <w:num w:numId="11">
    <w:abstractNumId w:val="11"/>
  </w:num>
  <w:num w:numId="12">
    <w:abstractNumId w:val="15"/>
  </w:num>
  <w:num w:numId="13">
    <w:abstractNumId w:val="4"/>
  </w:num>
  <w:num w:numId="14">
    <w:abstractNumId w:val="13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05"/>
    <w:rsid w:val="0000782F"/>
    <w:rsid w:val="000150A0"/>
    <w:rsid w:val="00020E64"/>
    <w:rsid w:val="00045B3F"/>
    <w:rsid w:val="00061A81"/>
    <w:rsid w:val="000648FE"/>
    <w:rsid w:val="00075650"/>
    <w:rsid w:val="00084AD4"/>
    <w:rsid w:val="00091584"/>
    <w:rsid w:val="000C22D5"/>
    <w:rsid w:val="000C425B"/>
    <w:rsid w:val="000C5FFD"/>
    <w:rsid w:val="000D209B"/>
    <w:rsid w:val="000D52B5"/>
    <w:rsid w:val="000E5DA5"/>
    <w:rsid w:val="000F68DA"/>
    <w:rsid w:val="00104552"/>
    <w:rsid w:val="0011155A"/>
    <w:rsid w:val="00121364"/>
    <w:rsid w:val="00122D54"/>
    <w:rsid w:val="001440C4"/>
    <w:rsid w:val="00147FA2"/>
    <w:rsid w:val="001550D9"/>
    <w:rsid w:val="00173975"/>
    <w:rsid w:val="00180ABC"/>
    <w:rsid w:val="001812B7"/>
    <w:rsid w:val="001827FA"/>
    <w:rsid w:val="00183370"/>
    <w:rsid w:val="00185FFD"/>
    <w:rsid w:val="00187B9D"/>
    <w:rsid w:val="001B1E86"/>
    <w:rsid w:val="001C22E5"/>
    <w:rsid w:val="001D1589"/>
    <w:rsid w:val="001D30DB"/>
    <w:rsid w:val="001E1FEA"/>
    <w:rsid w:val="001F3B7B"/>
    <w:rsid w:val="001F7FB8"/>
    <w:rsid w:val="0020325C"/>
    <w:rsid w:val="0020535E"/>
    <w:rsid w:val="00212D31"/>
    <w:rsid w:val="002143DB"/>
    <w:rsid w:val="00221252"/>
    <w:rsid w:val="00232D62"/>
    <w:rsid w:val="002419E9"/>
    <w:rsid w:val="00256DC8"/>
    <w:rsid w:val="00263192"/>
    <w:rsid w:val="002A1676"/>
    <w:rsid w:val="002B0C1D"/>
    <w:rsid w:val="002B1818"/>
    <w:rsid w:val="002B3326"/>
    <w:rsid w:val="002B5150"/>
    <w:rsid w:val="002E0D24"/>
    <w:rsid w:val="002E21BB"/>
    <w:rsid w:val="002F6FD5"/>
    <w:rsid w:val="003041CD"/>
    <w:rsid w:val="00305F5D"/>
    <w:rsid w:val="00320936"/>
    <w:rsid w:val="00320F4A"/>
    <w:rsid w:val="00324824"/>
    <w:rsid w:val="00326A41"/>
    <w:rsid w:val="00335AAE"/>
    <w:rsid w:val="003409F4"/>
    <w:rsid w:val="0034143B"/>
    <w:rsid w:val="00360D01"/>
    <w:rsid w:val="00362AE1"/>
    <w:rsid w:val="00363917"/>
    <w:rsid w:val="00370007"/>
    <w:rsid w:val="00384292"/>
    <w:rsid w:val="003869C2"/>
    <w:rsid w:val="003924E2"/>
    <w:rsid w:val="003C599F"/>
    <w:rsid w:val="003C79A1"/>
    <w:rsid w:val="003D06B5"/>
    <w:rsid w:val="003D547E"/>
    <w:rsid w:val="003D5FB8"/>
    <w:rsid w:val="003D6944"/>
    <w:rsid w:val="003E4959"/>
    <w:rsid w:val="00402402"/>
    <w:rsid w:val="004044FA"/>
    <w:rsid w:val="0040767B"/>
    <w:rsid w:val="00420722"/>
    <w:rsid w:val="00425F65"/>
    <w:rsid w:val="00451407"/>
    <w:rsid w:val="004629E2"/>
    <w:rsid w:val="00472B36"/>
    <w:rsid w:val="0047444B"/>
    <w:rsid w:val="00476E08"/>
    <w:rsid w:val="00486A2B"/>
    <w:rsid w:val="00486EEB"/>
    <w:rsid w:val="00487039"/>
    <w:rsid w:val="004952BA"/>
    <w:rsid w:val="00495BD7"/>
    <w:rsid w:val="004A3538"/>
    <w:rsid w:val="004A6F12"/>
    <w:rsid w:val="004B7AC6"/>
    <w:rsid w:val="004C0EDC"/>
    <w:rsid w:val="004C2F48"/>
    <w:rsid w:val="004C34C8"/>
    <w:rsid w:val="004C585E"/>
    <w:rsid w:val="004F3867"/>
    <w:rsid w:val="005003BF"/>
    <w:rsid w:val="00500557"/>
    <w:rsid w:val="00505D50"/>
    <w:rsid w:val="00512AC5"/>
    <w:rsid w:val="00516A37"/>
    <w:rsid w:val="005261C2"/>
    <w:rsid w:val="00555191"/>
    <w:rsid w:val="00556506"/>
    <w:rsid w:val="0056158A"/>
    <w:rsid w:val="0056336D"/>
    <w:rsid w:val="00586EB8"/>
    <w:rsid w:val="005A4891"/>
    <w:rsid w:val="005B3789"/>
    <w:rsid w:val="005B4A7F"/>
    <w:rsid w:val="005B555D"/>
    <w:rsid w:val="005B6337"/>
    <w:rsid w:val="005B6CD3"/>
    <w:rsid w:val="005C21B2"/>
    <w:rsid w:val="005D369D"/>
    <w:rsid w:val="005D51BE"/>
    <w:rsid w:val="005D5FC4"/>
    <w:rsid w:val="005D7FFB"/>
    <w:rsid w:val="005E07BA"/>
    <w:rsid w:val="005E0EF4"/>
    <w:rsid w:val="005E35D1"/>
    <w:rsid w:val="005E6E89"/>
    <w:rsid w:val="005E6FA3"/>
    <w:rsid w:val="005F6D39"/>
    <w:rsid w:val="00600B81"/>
    <w:rsid w:val="006025ED"/>
    <w:rsid w:val="00602C92"/>
    <w:rsid w:val="00610027"/>
    <w:rsid w:val="00611746"/>
    <w:rsid w:val="00614D23"/>
    <w:rsid w:val="00616B9B"/>
    <w:rsid w:val="0062348B"/>
    <w:rsid w:val="0063254F"/>
    <w:rsid w:val="0064564D"/>
    <w:rsid w:val="00646DFE"/>
    <w:rsid w:val="006524CF"/>
    <w:rsid w:val="0065390D"/>
    <w:rsid w:val="0065439D"/>
    <w:rsid w:val="00663A72"/>
    <w:rsid w:val="006641C8"/>
    <w:rsid w:val="00666990"/>
    <w:rsid w:val="006678F7"/>
    <w:rsid w:val="00673F9D"/>
    <w:rsid w:val="00684627"/>
    <w:rsid w:val="006906B0"/>
    <w:rsid w:val="006A19D1"/>
    <w:rsid w:val="006A44F0"/>
    <w:rsid w:val="006B0CC1"/>
    <w:rsid w:val="006C50A9"/>
    <w:rsid w:val="006D1343"/>
    <w:rsid w:val="006D13E8"/>
    <w:rsid w:val="006D7A78"/>
    <w:rsid w:val="006F3C93"/>
    <w:rsid w:val="00704256"/>
    <w:rsid w:val="007133FF"/>
    <w:rsid w:val="00713828"/>
    <w:rsid w:val="00714615"/>
    <w:rsid w:val="00714F38"/>
    <w:rsid w:val="00716B4E"/>
    <w:rsid w:val="00716BD8"/>
    <w:rsid w:val="00717138"/>
    <w:rsid w:val="007230A7"/>
    <w:rsid w:val="007425E2"/>
    <w:rsid w:val="007450C0"/>
    <w:rsid w:val="00763556"/>
    <w:rsid w:val="007653FB"/>
    <w:rsid w:val="0077066E"/>
    <w:rsid w:val="0077790D"/>
    <w:rsid w:val="007B6A44"/>
    <w:rsid w:val="007D5175"/>
    <w:rsid w:val="007E04C9"/>
    <w:rsid w:val="007E6B88"/>
    <w:rsid w:val="007F000B"/>
    <w:rsid w:val="007F1480"/>
    <w:rsid w:val="00802707"/>
    <w:rsid w:val="0081043F"/>
    <w:rsid w:val="008368A0"/>
    <w:rsid w:val="00842429"/>
    <w:rsid w:val="0084678B"/>
    <w:rsid w:val="008719F7"/>
    <w:rsid w:val="0088300B"/>
    <w:rsid w:val="00886450"/>
    <w:rsid w:val="00897228"/>
    <w:rsid w:val="00897320"/>
    <w:rsid w:val="008B0164"/>
    <w:rsid w:val="008B42B3"/>
    <w:rsid w:val="008C76D3"/>
    <w:rsid w:val="008D6853"/>
    <w:rsid w:val="008D78A9"/>
    <w:rsid w:val="008F52F7"/>
    <w:rsid w:val="008F65C5"/>
    <w:rsid w:val="0090115A"/>
    <w:rsid w:val="009026D9"/>
    <w:rsid w:val="0090413C"/>
    <w:rsid w:val="0090648D"/>
    <w:rsid w:val="00906D9E"/>
    <w:rsid w:val="009146C8"/>
    <w:rsid w:val="00914C91"/>
    <w:rsid w:val="0091773C"/>
    <w:rsid w:val="0092612B"/>
    <w:rsid w:val="0092784F"/>
    <w:rsid w:val="00927D7B"/>
    <w:rsid w:val="00940FE6"/>
    <w:rsid w:val="0096132D"/>
    <w:rsid w:val="00961F47"/>
    <w:rsid w:val="00963517"/>
    <w:rsid w:val="0097062F"/>
    <w:rsid w:val="00972E08"/>
    <w:rsid w:val="00973802"/>
    <w:rsid w:val="0097716B"/>
    <w:rsid w:val="00977607"/>
    <w:rsid w:val="00990091"/>
    <w:rsid w:val="00990E4C"/>
    <w:rsid w:val="00997D1F"/>
    <w:rsid w:val="00997EEE"/>
    <w:rsid w:val="009A1F44"/>
    <w:rsid w:val="009A58C5"/>
    <w:rsid w:val="009B4F50"/>
    <w:rsid w:val="009C233F"/>
    <w:rsid w:val="009C37EB"/>
    <w:rsid w:val="009E70C9"/>
    <w:rsid w:val="009F0724"/>
    <w:rsid w:val="009F50D1"/>
    <w:rsid w:val="00A021A5"/>
    <w:rsid w:val="00A04F17"/>
    <w:rsid w:val="00A10804"/>
    <w:rsid w:val="00A2028F"/>
    <w:rsid w:val="00A26D39"/>
    <w:rsid w:val="00A3502B"/>
    <w:rsid w:val="00A41559"/>
    <w:rsid w:val="00A622AF"/>
    <w:rsid w:val="00A637D0"/>
    <w:rsid w:val="00A70091"/>
    <w:rsid w:val="00A73674"/>
    <w:rsid w:val="00A80012"/>
    <w:rsid w:val="00A83315"/>
    <w:rsid w:val="00A97C77"/>
    <w:rsid w:val="00AA0664"/>
    <w:rsid w:val="00AA24E8"/>
    <w:rsid w:val="00AA4FA7"/>
    <w:rsid w:val="00AB2D03"/>
    <w:rsid w:val="00AC5028"/>
    <w:rsid w:val="00AC5484"/>
    <w:rsid w:val="00AE0E92"/>
    <w:rsid w:val="00AE4331"/>
    <w:rsid w:val="00AE7FB0"/>
    <w:rsid w:val="00AF3AEA"/>
    <w:rsid w:val="00AF6C1F"/>
    <w:rsid w:val="00B11465"/>
    <w:rsid w:val="00B12825"/>
    <w:rsid w:val="00B223C5"/>
    <w:rsid w:val="00B22655"/>
    <w:rsid w:val="00B30114"/>
    <w:rsid w:val="00B332ED"/>
    <w:rsid w:val="00B333BA"/>
    <w:rsid w:val="00B36405"/>
    <w:rsid w:val="00B44473"/>
    <w:rsid w:val="00B47A3A"/>
    <w:rsid w:val="00B50775"/>
    <w:rsid w:val="00B6492E"/>
    <w:rsid w:val="00B64C84"/>
    <w:rsid w:val="00B73205"/>
    <w:rsid w:val="00B82B90"/>
    <w:rsid w:val="00B926D2"/>
    <w:rsid w:val="00BB4B1F"/>
    <w:rsid w:val="00BB574C"/>
    <w:rsid w:val="00BC7196"/>
    <w:rsid w:val="00BD4AF6"/>
    <w:rsid w:val="00BD711E"/>
    <w:rsid w:val="00BE799C"/>
    <w:rsid w:val="00BF0AC6"/>
    <w:rsid w:val="00BF13E7"/>
    <w:rsid w:val="00BF31B0"/>
    <w:rsid w:val="00C113BF"/>
    <w:rsid w:val="00C14B57"/>
    <w:rsid w:val="00C30C45"/>
    <w:rsid w:val="00C34CBF"/>
    <w:rsid w:val="00C4239F"/>
    <w:rsid w:val="00C441E9"/>
    <w:rsid w:val="00C466E9"/>
    <w:rsid w:val="00C556A0"/>
    <w:rsid w:val="00C557EB"/>
    <w:rsid w:val="00C60FAB"/>
    <w:rsid w:val="00C61384"/>
    <w:rsid w:val="00C62B08"/>
    <w:rsid w:val="00C63299"/>
    <w:rsid w:val="00C64EFF"/>
    <w:rsid w:val="00C77D58"/>
    <w:rsid w:val="00C85F57"/>
    <w:rsid w:val="00CB0905"/>
    <w:rsid w:val="00CC50F3"/>
    <w:rsid w:val="00CD06A2"/>
    <w:rsid w:val="00CD613C"/>
    <w:rsid w:val="00CE2133"/>
    <w:rsid w:val="00CE38BC"/>
    <w:rsid w:val="00CF1DE8"/>
    <w:rsid w:val="00CF24A4"/>
    <w:rsid w:val="00CF264E"/>
    <w:rsid w:val="00CF5880"/>
    <w:rsid w:val="00D0133A"/>
    <w:rsid w:val="00D11AEB"/>
    <w:rsid w:val="00D12B31"/>
    <w:rsid w:val="00D15F24"/>
    <w:rsid w:val="00D160FC"/>
    <w:rsid w:val="00D2375F"/>
    <w:rsid w:val="00D36114"/>
    <w:rsid w:val="00D44F97"/>
    <w:rsid w:val="00D662C9"/>
    <w:rsid w:val="00D72E9E"/>
    <w:rsid w:val="00D730EF"/>
    <w:rsid w:val="00D929D1"/>
    <w:rsid w:val="00DB3DB8"/>
    <w:rsid w:val="00DD1623"/>
    <w:rsid w:val="00DD16BB"/>
    <w:rsid w:val="00DD3345"/>
    <w:rsid w:val="00DD4E25"/>
    <w:rsid w:val="00DF17AA"/>
    <w:rsid w:val="00E00DD8"/>
    <w:rsid w:val="00E023EE"/>
    <w:rsid w:val="00E055EE"/>
    <w:rsid w:val="00E236BF"/>
    <w:rsid w:val="00E37F4A"/>
    <w:rsid w:val="00E40A1D"/>
    <w:rsid w:val="00E535CF"/>
    <w:rsid w:val="00E61216"/>
    <w:rsid w:val="00E62AC3"/>
    <w:rsid w:val="00E63BBD"/>
    <w:rsid w:val="00E64738"/>
    <w:rsid w:val="00E66BFA"/>
    <w:rsid w:val="00E850A7"/>
    <w:rsid w:val="00E94320"/>
    <w:rsid w:val="00EA37BB"/>
    <w:rsid w:val="00EA38B6"/>
    <w:rsid w:val="00EB0C11"/>
    <w:rsid w:val="00EB6E2E"/>
    <w:rsid w:val="00EC5574"/>
    <w:rsid w:val="00ED067D"/>
    <w:rsid w:val="00ED5AA0"/>
    <w:rsid w:val="00F054B6"/>
    <w:rsid w:val="00F06399"/>
    <w:rsid w:val="00F06F21"/>
    <w:rsid w:val="00F13BAE"/>
    <w:rsid w:val="00F3539B"/>
    <w:rsid w:val="00F36BFE"/>
    <w:rsid w:val="00F455D0"/>
    <w:rsid w:val="00F52900"/>
    <w:rsid w:val="00F530DA"/>
    <w:rsid w:val="00F55465"/>
    <w:rsid w:val="00F6437F"/>
    <w:rsid w:val="00F82F88"/>
    <w:rsid w:val="00F924CC"/>
    <w:rsid w:val="00FA7028"/>
    <w:rsid w:val="00FB26FA"/>
    <w:rsid w:val="00FB32A2"/>
    <w:rsid w:val="00FB4DCE"/>
    <w:rsid w:val="00FB577B"/>
    <w:rsid w:val="00FB60D7"/>
    <w:rsid w:val="00FB7D21"/>
    <w:rsid w:val="00FC14ED"/>
    <w:rsid w:val="00FC61F4"/>
    <w:rsid w:val="00FC6924"/>
    <w:rsid w:val="00FD201C"/>
    <w:rsid w:val="00FD563F"/>
    <w:rsid w:val="00FE7F48"/>
    <w:rsid w:val="00FF274F"/>
    <w:rsid w:val="00FF2A72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8BAD59"/>
  <w15:chartTrackingRefBased/>
  <w15:docId w15:val="{BA064729-41C5-4D00-82E2-DE40F279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205"/>
    <w:pPr>
      <w:ind w:left="720"/>
      <w:contextualSpacing/>
    </w:pPr>
  </w:style>
  <w:style w:type="paragraph" w:styleId="BodyText">
    <w:name w:val="Body Text"/>
    <w:basedOn w:val="Normal"/>
    <w:link w:val="BodyTextChar"/>
    <w:rsid w:val="00FB4DC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FB4DCE"/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9E9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011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0115A"/>
  </w:style>
  <w:style w:type="paragraph" w:styleId="Header">
    <w:name w:val="header"/>
    <w:basedOn w:val="Normal"/>
    <w:link w:val="HeaderChar"/>
    <w:uiPriority w:val="99"/>
    <w:unhideWhenUsed/>
    <w:rsid w:val="00F5546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465"/>
  </w:style>
  <w:style w:type="paragraph" w:styleId="Footer">
    <w:name w:val="footer"/>
    <w:basedOn w:val="Normal"/>
    <w:link w:val="FooterChar"/>
    <w:uiPriority w:val="99"/>
    <w:unhideWhenUsed/>
    <w:rsid w:val="00F5546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465"/>
  </w:style>
  <w:style w:type="table" w:styleId="TableGrid">
    <w:name w:val="Table Grid"/>
    <w:basedOn w:val="TableNormal"/>
    <w:uiPriority w:val="39"/>
    <w:rsid w:val="00AA4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2E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E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E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E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E08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240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240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24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10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DF2AA-373D-4476-8BAC-35011654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5304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Vladislavs Kazačonoks</dc:creator>
  <cp:keywords/>
  <dc:description/>
  <cp:lastModifiedBy>Vladislavs Kazačonoks</cp:lastModifiedBy>
  <cp:revision>184</cp:revision>
  <cp:lastPrinted>2020-03-20T08:22:00Z</cp:lastPrinted>
  <dcterms:created xsi:type="dcterms:W3CDTF">2016-03-17T07:07:00Z</dcterms:created>
  <dcterms:modified xsi:type="dcterms:W3CDTF">2021-02-10T08:22:00Z</dcterms:modified>
</cp:coreProperties>
</file>