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113E0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APSTIPRINU</w:t>
      </w:r>
    </w:p>
    <w:p w14:paraId="716420C2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 xml:space="preserve">SIA "LatRosTrans" </w:t>
      </w:r>
    </w:p>
    <w:p w14:paraId="2949AF02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Biznesa attīstības direktors</w:t>
      </w:r>
    </w:p>
    <w:p w14:paraId="0ACBB560" w14:textId="238E16DD" w:rsidR="00DD3345" w:rsidRPr="00183370" w:rsidRDefault="0046242F" w:rsidP="006A19D1">
      <w:pPr>
        <w:pStyle w:val="BodyText"/>
        <w:spacing w:line="276" w:lineRule="auto"/>
        <w:rPr>
          <w:b/>
          <w:szCs w:val="24"/>
          <w:lang w:val="lv-LV"/>
        </w:rPr>
      </w:pPr>
      <w:r>
        <w:rPr>
          <w:b/>
          <w:szCs w:val="24"/>
          <w:lang w:val="lv-LV"/>
        </w:rPr>
        <w:t>Renārs</w:t>
      </w:r>
      <w:r w:rsidR="00DD3345" w:rsidRPr="00183370">
        <w:rPr>
          <w:b/>
          <w:szCs w:val="24"/>
          <w:lang w:val="lv-LV"/>
        </w:rPr>
        <w:t xml:space="preserve"> Zelčs</w:t>
      </w:r>
    </w:p>
    <w:p w14:paraId="43F9C897" w14:textId="22F0052A" w:rsidR="00FB4DCE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20</w:t>
      </w:r>
      <w:r w:rsidR="00AB2D03" w:rsidRPr="00183370">
        <w:rPr>
          <w:b/>
          <w:szCs w:val="24"/>
          <w:lang w:val="lv-LV"/>
        </w:rPr>
        <w:t>2</w:t>
      </w:r>
      <w:r w:rsidR="00713828">
        <w:rPr>
          <w:b/>
          <w:szCs w:val="24"/>
          <w:lang w:val="lv-LV"/>
        </w:rPr>
        <w:t>1</w:t>
      </w:r>
      <w:r w:rsidRPr="00183370">
        <w:rPr>
          <w:b/>
          <w:szCs w:val="24"/>
          <w:lang w:val="lv-LV"/>
        </w:rPr>
        <w:t xml:space="preserve">. gada </w:t>
      </w:r>
      <w:r w:rsidR="0046242F">
        <w:rPr>
          <w:b/>
          <w:szCs w:val="24"/>
          <w:lang w:val="lv-LV"/>
        </w:rPr>
        <w:t>25. janvāris</w:t>
      </w:r>
      <w:bookmarkStart w:id="0" w:name="_GoBack"/>
      <w:bookmarkEnd w:id="0"/>
    </w:p>
    <w:p w14:paraId="609122D8" w14:textId="77777777" w:rsidR="00DD3345" w:rsidRPr="00183370" w:rsidRDefault="00DD3345" w:rsidP="00DD3345">
      <w:pPr>
        <w:pStyle w:val="BodyText"/>
        <w:jc w:val="left"/>
        <w:rPr>
          <w:sz w:val="28"/>
          <w:lang w:val="lv-LV"/>
        </w:rPr>
      </w:pPr>
    </w:p>
    <w:p w14:paraId="3AF29814" w14:textId="77777777" w:rsidR="00FB4DCE" w:rsidRPr="00183370" w:rsidRDefault="001812B7" w:rsidP="006A19D1">
      <w:pPr>
        <w:pStyle w:val="BodyText"/>
        <w:spacing w:line="276" w:lineRule="auto"/>
        <w:jc w:val="center"/>
        <w:rPr>
          <w:b/>
          <w:bCs/>
          <w:szCs w:val="24"/>
          <w:lang w:val="lv-LV"/>
        </w:rPr>
      </w:pPr>
      <w:r w:rsidRPr="00183370">
        <w:rPr>
          <w:b/>
          <w:bCs/>
          <w:szCs w:val="24"/>
          <w:lang w:val="lv-LV"/>
        </w:rPr>
        <w:t>TEHNISKAIS</w:t>
      </w:r>
      <w:r w:rsidR="00FB4DCE" w:rsidRPr="00183370">
        <w:rPr>
          <w:b/>
          <w:bCs/>
          <w:szCs w:val="24"/>
          <w:lang w:val="lv-LV"/>
        </w:rPr>
        <w:t xml:space="preserve"> UZDEVUMS</w:t>
      </w:r>
    </w:p>
    <w:p w14:paraId="6B858FC0" w14:textId="77777777" w:rsidR="00802707" w:rsidRDefault="003D5FB8" w:rsidP="008027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LRDS “Ilūkste” </w:t>
      </w:r>
      <w:r w:rsidR="00802707">
        <w:rPr>
          <w:rFonts w:ascii="Times New Roman" w:hAnsi="Times New Roman" w:cs="Times New Roman"/>
          <w:b/>
          <w:sz w:val="24"/>
          <w:szCs w:val="24"/>
          <w:lang w:val="lv-LV"/>
        </w:rPr>
        <w:t>r</w:t>
      </w:r>
      <w:r w:rsidR="00802707" w:rsidRPr="00802707">
        <w:rPr>
          <w:rFonts w:ascii="Times New Roman" w:hAnsi="Times New Roman" w:cs="Times New Roman"/>
          <w:b/>
          <w:sz w:val="24"/>
          <w:szCs w:val="24"/>
          <w:lang w:val="lv-LV"/>
        </w:rPr>
        <w:t>ažošanas lietus notekūdeņu kanalizācijas sūkņu</w:t>
      </w:r>
    </w:p>
    <w:p w14:paraId="07C1086B" w14:textId="4DEF2C5B" w:rsidR="003D5FB8" w:rsidRPr="00183370" w:rsidRDefault="00802707" w:rsidP="00802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0270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stacijas Nr.1 </w:t>
      </w:r>
      <w:r w:rsidR="00486A2B">
        <w:rPr>
          <w:rFonts w:ascii="Times New Roman" w:hAnsi="Times New Roman" w:cs="Times New Roman"/>
          <w:b/>
          <w:sz w:val="24"/>
          <w:szCs w:val="24"/>
          <w:lang w:val="lv-LV"/>
        </w:rPr>
        <w:t>ēkas fasādes</w:t>
      </w:r>
      <w:r w:rsidR="009278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remontdarbi</w:t>
      </w:r>
    </w:p>
    <w:p w14:paraId="136C997C" w14:textId="77777777" w:rsidR="001550D9" w:rsidRPr="00183370" w:rsidRDefault="00486EEB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Darba</w:t>
      </w:r>
      <w:r w:rsidR="002B5150"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mērķis:</w:t>
      </w:r>
    </w:p>
    <w:p w14:paraId="4848EEC2" w14:textId="77777777" w:rsidR="00476E08" w:rsidRPr="00183370" w:rsidRDefault="008B0164" w:rsidP="00476E0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Veikt </w:t>
      </w:r>
      <w:r w:rsidR="006025ED">
        <w:rPr>
          <w:rFonts w:ascii="Times New Roman" w:hAnsi="Times New Roman" w:cs="Times New Roman"/>
          <w:sz w:val="24"/>
          <w:szCs w:val="24"/>
          <w:lang w:val="lv-LV"/>
        </w:rPr>
        <w:t>ēk</w:t>
      </w:r>
      <w:r w:rsidR="00486A2B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6025ED">
        <w:rPr>
          <w:rFonts w:ascii="Times New Roman" w:hAnsi="Times New Roman" w:cs="Times New Roman"/>
          <w:sz w:val="24"/>
          <w:szCs w:val="24"/>
          <w:lang w:val="lv-LV"/>
        </w:rPr>
        <w:t xml:space="preserve"> fasā</w:t>
      </w:r>
      <w:r w:rsidR="00486A2B">
        <w:rPr>
          <w:rFonts w:ascii="Times New Roman" w:hAnsi="Times New Roman" w:cs="Times New Roman"/>
          <w:sz w:val="24"/>
          <w:szCs w:val="24"/>
          <w:lang w:val="lv-LV"/>
        </w:rPr>
        <w:t>des</w:t>
      </w: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kārtējo remontu un nolietojušo elementu atjaunošanu.</w:t>
      </w:r>
    </w:p>
    <w:p w14:paraId="30FC519C" w14:textId="77777777" w:rsidR="00B36405" w:rsidRPr="00183370" w:rsidRDefault="00B36405" w:rsidP="00B36405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D38BF0" w14:textId="77777777" w:rsidR="007E6B88" w:rsidRPr="00183370" w:rsidRDefault="007E6B88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Objekta raksturojums:</w:t>
      </w:r>
    </w:p>
    <w:p w14:paraId="00AC4DDC" w14:textId="77777777" w:rsidR="003D5FB8" w:rsidRPr="00183370" w:rsidRDefault="003D5FB8" w:rsidP="003D5FB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LRDS “Ilūkste”, Šēderes pagasts, Ilūkstes novads;</w:t>
      </w:r>
    </w:p>
    <w:p w14:paraId="6D3391F6" w14:textId="77777777" w:rsidR="00B36405" w:rsidRPr="00183370" w:rsidRDefault="00B36405" w:rsidP="00B36405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738E8A" w14:textId="77777777" w:rsidR="003924E2" w:rsidRPr="00183370" w:rsidRDefault="00AA4FA7" w:rsidP="006A19D1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Būv</w:t>
      </w:r>
      <w:r w:rsidR="00997D1F"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darbu apjomi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Style w:val="TableGrid"/>
        <w:tblW w:w="9640" w:type="dxa"/>
        <w:jc w:val="right"/>
        <w:tblLook w:val="04A0" w:firstRow="1" w:lastRow="0" w:firstColumn="1" w:lastColumn="0" w:noHBand="0" w:noVBand="1"/>
      </w:tblPr>
      <w:tblGrid>
        <w:gridCol w:w="750"/>
        <w:gridCol w:w="7042"/>
        <w:gridCol w:w="855"/>
        <w:gridCol w:w="993"/>
      </w:tblGrid>
      <w:tr w:rsidR="0040767B" w:rsidRPr="00183370" w14:paraId="368C2F3D" w14:textId="77777777" w:rsidTr="0040767B">
        <w:trPr>
          <w:trHeight w:val="465"/>
          <w:jc w:val="right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62303965" w14:textId="77777777" w:rsidR="0040767B" w:rsidRPr="00183370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N.p.k</w:t>
            </w:r>
            <w:proofErr w:type="spellEnd"/>
          </w:p>
        </w:tc>
        <w:tc>
          <w:tcPr>
            <w:tcW w:w="7042" w:type="dxa"/>
            <w:shd w:val="clear" w:color="auto" w:fill="D9D9D9" w:themeFill="background1" w:themeFillShade="D9"/>
            <w:vAlign w:val="center"/>
          </w:tcPr>
          <w:p w14:paraId="6F16BBDE" w14:textId="77777777" w:rsidR="0040767B" w:rsidRPr="00183370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Būvdarbu apraksts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6322E3B" w14:textId="77777777" w:rsidR="0040767B" w:rsidRPr="00183370" w:rsidRDefault="0040767B" w:rsidP="00D662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E246D91" w14:textId="77777777" w:rsidR="0040767B" w:rsidRPr="00183370" w:rsidRDefault="0040767B" w:rsidP="0020325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Daudz.</w:t>
            </w:r>
          </w:p>
        </w:tc>
      </w:tr>
      <w:tr w:rsidR="0092784F" w:rsidRPr="0092784F" w14:paraId="43770B0E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3AFD0FA7" w14:textId="77777777" w:rsidR="0092784F" w:rsidRPr="00183370" w:rsidRDefault="0092784F" w:rsidP="003D5FB8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194E4101" w14:textId="77777777" w:rsidR="0092784F" w:rsidRPr="0092784F" w:rsidRDefault="00486A2B" w:rsidP="006025E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Bojātas ārējas silikāta ķieģeļu sienas daļējā demontāža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2073D7" w14:textId="77777777" w:rsidR="0092784F" w:rsidRPr="00183370" w:rsidRDefault="00516A37" w:rsidP="00516A3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08ECF2" w14:textId="77777777" w:rsidR="0092784F" w:rsidRPr="00183370" w:rsidRDefault="00486A2B" w:rsidP="003D5F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0.05</w:t>
            </w:r>
          </w:p>
        </w:tc>
      </w:tr>
      <w:tr w:rsidR="00516A37" w:rsidRPr="0092784F" w14:paraId="39F418A3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48EFFDC3" w14:textId="77777777" w:rsidR="00516A37" w:rsidRPr="00183370" w:rsidRDefault="00516A37" w:rsidP="00516A37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39E70E56" w14:textId="77777777" w:rsidR="00516A37" w:rsidRPr="00183370" w:rsidRDefault="00486A2B" w:rsidP="0047444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Bojātas sienas remonts, t.sk. ārējas sienas mūrēšana ar silikātu ķieģeli, plaisas pildīšana ar remonta cementa javu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1DD3AE" w14:textId="77777777" w:rsidR="00516A37" w:rsidRPr="00183370" w:rsidRDefault="00516A37" w:rsidP="00516A3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E9D44" w14:textId="77777777" w:rsidR="00516A37" w:rsidRPr="00183370" w:rsidRDefault="00486A2B" w:rsidP="00516A3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0.05</w:t>
            </w:r>
          </w:p>
        </w:tc>
      </w:tr>
      <w:tr w:rsidR="00BD4AF6" w:rsidRPr="0092784F" w14:paraId="114FE654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462045F" w14:textId="77777777" w:rsidR="00BD4AF6" w:rsidRPr="00183370" w:rsidRDefault="00BD4AF6" w:rsidP="00BD4AF6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1F4EA494" w14:textId="77777777" w:rsidR="00BD4AF6" w:rsidRPr="00183370" w:rsidRDefault="00486A2B" w:rsidP="00BD4AF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Skārda vējdēļa demontāža</w:t>
            </w:r>
            <w:r w:rsidR="0089722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70C831B" w14:textId="77777777" w:rsidR="00BD4AF6" w:rsidRPr="00183370" w:rsidRDefault="00486A2B" w:rsidP="00BD4A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E6546" w14:textId="77777777" w:rsidR="00BD4AF6" w:rsidRPr="00183370" w:rsidRDefault="00486A2B" w:rsidP="00BD4A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</w:tr>
      <w:tr w:rsidR="00BD4AF6" w:rsidRPr="0092784F" w14:paraId="3177E444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4143EB53" w14:textId="77777777" w:rsidR="00BD4AF6" w:rsidRPr="00183370" w:rsidRDefault="00BD4AF6" w:rsidP="00BD4AF6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65A79B94" w14:textId="77777777" w:rsidR="00BD4AF6" w:rsidRPr="00147FA2" w:rsidRDefault="00486A2B" w:rsidP="00147FA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Skārda vējdēļa ierīkošana</w:t>
            </w:r>
            <w:r w:rsidR="0089722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086118" w14:textId="77777777" w:rsidR="00BD4AF6" w:rsidRPr="00183370" w:rsidRDefault="00486A2B" w:rsidP="00BD4A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1B7E0" w14:textId="77777777" w:rsidR="00BD4AF6" w:rsidRPr="00183370" w:rsidRDefault="00486A2B" w:rsidP="00BD4A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</w:tr>
      <w:tr w:rsidR="00147FA2" w:rsidRPr="0092784F" w14:paraId="4C6BAE6E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5F7CE103" w14:textId="77777777" w:rsidR="00147FA2" w:rsidRPr="00183370" w:rsidRDefault="00147FA2" w:rsidP="00BD4AF6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54D127E6" w14:textId="77777777" w:rsidR="00147FA2" w:rsidRDefault="00486A2B" w:rsidP="00147FA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Kausējuma jumta seguma remonts, t. sk. virsmas attīrīšana un apstrāde ar bitumena grunti, jaunā uzkausējuma </w:t>
            </w:r>
            <w:proofErr w:type="spellStart"/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ruļļveida</w:t>
            </w:r>
            <w:proofErr w:type="spellEnd"/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materiāla ierīkošana vienā slānī, ventilācijas izvada D400 un D100 hermetizācija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6F48D66" w14:textId="77777777" w:rsidR="00147FA2" w:rsidRPr="00183370" w:rsidRDefault="00486A2B" w:rsidP="00BD4A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18302" w14:textId="77777777" w:rsidR="00147FA2" w:rsidRDefault="00486A2B" w:rsidP="00BD4A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</w:tr>
      <w:tr w:rsidR="00147FA2" w:rsidRPr="0092784F" w14:paraId="452E2538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5A0F8F78" w14:textId="77777777" w:rsidR="00147FA2" w:rsidRPr="00183370" w:rsidRDefault="00147FA2" w:rsidP="00BD4AF6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21FFE2CF" w14:textId="77777777" w:rsidR="00147FA2" w:rsidRDefault="00486A2B" w:rsidP="00147FA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Aizsargapmales</w:t>
            </w:r>
            <w:proofErr w:type="spellEnd"/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tīrīšana no sūnām un aļģēm, deformācijas </w:t>
            </w:r>
            <w:proofErr w:type="spellStart"/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šķēršuves</w:t>
            </w:r>
            <w:proofErr w:type="spellEnd"/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garenšuves atjaunošana – polietilēna šuvju blīvētāju ierīkošana un hermetizācija 22 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ACEE79" w14:textId="77777777" w:rsidR="00147FA2" w:rsidRDefault="00147FA2" w:rsidP="00BD4A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5788A" w14:textId="77777777" w:rsidR="00147FA2" w:rsidRDefault="001827FA" w:rsidP="00BD4A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</w:tr>
      <w:tr w:rsidR="006D7A78" w:rsidRPr="0092784F" w14:paraId="08BEB5FB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16569C14" w14:textId="77777777" w:rsidR="006D7A78" w:rsidRPr="00183370" w:rsidRDefault="006D7A78" w:rsidP="006D7A78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13AE70BA" w14:textId="77777777" w:rsidR="006D7A78" w:rsidRDefault="00486A2B" w:rsidP="006D7A7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Loga ārējas palodzes demontāža, palodzes gabarīti 1.9x0.3m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62751A9" w14:textId="77777777" w:rsidR="006D7A78" w:rsidRPr="00183370" w:rsidRDefault="00486A2B" w:rsidP="006D7A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47BD0" w14:textId="77777777" w:rsidR="006D7A78" w:rsidRDefault="00486A2B" w:rsidP="006D7A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6D7A78" w:rsidRPr="0092612B" w14:paraId="37CA1965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17580260" w14:textId="77777777" w:rsidR="006D7A78" w:rsidRPr="00183370" w:rsidRDefault="006D7A78" w:rsidP="006D7A78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265FEC73" w14:textId="30B18FE7" w:rsidR="006D7A78" w:rsidRDefault="00486A2B" w:rsidP="0089722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Fasādes apšūšana ar sienas profilēto metāla loksnēm T18 vai ekvivalents, t.sk. metāla karkasa izveidošana.</w:t>
            </w:r>
            <w:r w:rsidR="009261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Pievienot metāla loksnes pie esošā zemējuma kontūra.</w:t>
            </w: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Sienas augstums 2.5m, sienas perimetrs 16.5m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FECDDF" w14:textId="77777777" w:rsidR="006D7A78" w:rsidRDefault="00486A2B" w:rsidP="006D7A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183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CB289" w14:textId="77777777" w:rsidR="006D7A78" w:rsidRDefault="00486A2B" w:rsidP="006D7A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23.24</w:t>
            </w:r>
          </w:p>
        </w:tc>
      </w:tr>
      <w:tr w:rsidR="00486A2B" w:rsidRPr="0092612B" w14:paraId="74183294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5F3D199F" w14:textId="77777777" w:rsidR="00486A2B" w:rsidRPr="00183370" w:rsidRDefault="00486A2B" w:rsidP="00486A2B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460CD21C" w14:textId="77777777" w:rsidR="00486A2B" w:rsidRDefault="00486A2B" w:rsidP="00486A2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Loga perimetra apdare, loga gabarīti 1.9x1.2m;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4E564D8" w14:textId="77777777" w:rsidR="00486A2B" w:rsidRPr="00183370" w:rsidRDefault="00486A2B" w:rsidP="00486A2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AA928" w14:textId="77777777" w:rsidR="00486A2B" w:rsidRDefault="00486A2B" w:rsidP="00486A2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486A2B" w:rsidRPr="006D7A78" w14:paraId="47894793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5F5949CE" w14:textId="77777777" w:rsidR="00486A2B" w:rsidRPr="00183370" w:rsidRDefault="00486A2B" w:rsidP="00486A2B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7F714F5B" w14:textId="77777777" w:rsidR="00486A2B" w:rsidRPr="006D7A78" w:rsidRDefault="00486A2B" w:rsidP="00486A2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Durvju perimetra apdare, durvju gabarīti 1.2x2.0m;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8FE4900" w14:textId="77777777" w:rsidR="00486A2B" w:rsidRPr="00183370" w:rsidRDefault="00486A2B" w:rsidP="00486A2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3510E" w14:textId="77777777" w:rsidR="00486A2B" w:rsidRDefault="00486A2B" w:rsidP="00486A2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486A2B" w:rsidRPr="006D7A78" w14:paraId="703EDED2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788BA2CC" w14:textId="77777777" w:rsidR="00486A2B" w:rsidRPr="00183370" w:rsidRDefault="00486A2B" w:rsidP="00486A2B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1FF1687E" w14:textId="77777777" w:rsidR="00486A2B" w:rsidRDefault="00486A2B" w:rsidP="00486A2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Durvju restes ierīk</w:t>
            </w:r>
            <w:r w:rsidR="0089722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ošana, t.sk. cauruma izgriešana</w:t>
            </w: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durvī</w:t>
            </w:r>
            <w:r w:rsidR="0089722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abās pusēs, ventilācijas restes ierīkošana</w:t>
            </w:r>
            <w:r w:rsidR="0089722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427155" w14:textId="77777777" w:rsidR="00486A2B" w:rsidRPr="00183370" w:rsidRDefault="00486A2B" w:rsidP="00486A2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28F44" w14:textId="77777777" w:rsidR="00486A2B" w:rsidRDefault="00486A2B" w:rsidP="00486A2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486A2B" w:rsidRPr="006D7A78" w14:paraId="35919B20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36F70431" w14:textId="77777777" w:rsidR="00486A2B" w:rsidRPr="00183370" w:rsidRDefault="00486A2B" w:rsidP="00486A2B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3D68A6D7" w14:textId="77777777" w:rsidR="00486A2B" w:rsidRPr="00B50775" w:rsidRDefault="00486A2B" w:rsidP="00486A2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Zibensaizsardzības</w:t>
            </w:r>
            <w:proofErr w:type="spellEnd"/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stieņa </w:t>
            </w:r>
            <w:r w:rsidR="00897228"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krāsošanas</w:t>
            </w: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darbi (l=6m)</w:t>
            </w:r>
            <w:r w:rsidR="0089722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2D5542E" w14:textId="77777777" w:rsidR="00486A2B" w:rsidRPr="00183370" w:rsidRDefault="00486A2B" w:rsidP="00486A2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B4CE3" w14:textId="77777777" w:rsidR="00486A2B" w:rsidRDefault="00486A2B" w:rsidP="00486A2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6F3C93" w:rsidRPr="006D7A78" w14:paraId="1F76C79C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2DF8DB70" w14:textId="77777777" w:rsidR="006F3C93" w:rsidRPr="00183370" w:rsidRDefault="006F3C93" w:rsidP="006D7A78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3F073619" w14:textId="6AF640E0" w:rsidR="006F3C93" w:rsidRDefault="00486A2B" w:rsidP="00F924C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A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Fasādes gaismekļu un slēdžu </w:t>
            </w:r>
            <w:r w:rsidR="00F924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nomaiņa</w:t>
            </w:r>
            <w:r w:rsidR="0089722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2B331D4" w14:textId="77777777" w:rsidR="006F3C93" w:rsidRDefault="00486A2B" w:rsidP="006D7A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B5632" w14:textId="6855042D" w:rsidR="006F3C93" w:rsidRDefault="00F924CC" w:rsidP="006D7A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  <w:tr w:rsidR="006F3C93" w:rsidRPr="006D7A78" w14:paraId="090D6B5E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2AD4607F" w14:textId="77777777" w:rsidR="006F3C93" w:rsidRPr="00183370" w:rsidRDefault="006F3C93" w:rsidP="006D7A78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3086C426" w14:textId="77777777" w:rsidR="006F3C93" w:rsidRDefault="006F3C93" w:rsidP="006F3C9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833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Būvgružu savākšana un utilizācija;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D1FC1BE" w14:textId="77777777" w:rsidR="006F3C93" w:rsidRDefault="006F3C93" w:rsidP="006D7A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86AFF" w14:textId="77777777" w:rsidR="006F3C93" w:rsidRDefault="00486A2B" w:rsidP="006D7A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0.05</w:t>
            </w:r>
          </w:p>
        </w:tc>
      </w:tr>
      <w:tr w:rsidR="000B6A07" w:rsidRPr="006D7A78" w14:paraId="7E498F15" w14:textId="77777777" w:rsidTr="00E66BFA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29928CE1" w14:textId="77777777" w:rsidR="000B6A07" w:rsidRPr="00183370" w:rsidRDefault="000B6A07" w:rsidP="006D7A78">
            <w:pPr>
              <w:pStyle w:val="ListParagraph"/>
              <w:numPr>
                <w:ilvl w:val="0"/>
                <w:numId w:val="14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 w14:paraId="763355D2" w14:textId="2D3C62DF" w:rsidR="000B6A07" w:rsidRPr="00183370" w:rsidRDefault="000B6A07" w:rsidP="006F3C9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6A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aizsardzības plāna un vides risku novērtējuma izstrāde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A70616F" w14:textId="609EB0AD" w:rsidR="000B6A07" w:rsidRDefault="000B6A07" w:rsidP="006D7A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6BAD0" w14:textId="5F88076A" w:rsidR="000B6A07" w:rsidRDefault="000B6A07" w:rsidP="006D7A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</w:tbl>
    <w:p w14:paraId="62DCA780" w14:textId="77777777" w:rsidR="00FB26FA" w:rsidRPr="00183370" w:rsidRDefault="00FB26FA" w:rsidP="00C613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12B5BD" w14:textId="77777777" w:rsidR="00180ABC" w:rsidRPr="00183370" w:rsidRDefault="00180ABC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Vispārējas prasības:</w:t>
      </w:r>
    </w:p>
    <w:p w14:paraId="56D2DE23" w14:textId="77777777" w:rsidR="00FF5397" w:rsidRPr="00183370" w:rsidRDefault="00FF5397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darbu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uzsākšanas jāsaņem </w:t>
      </w:r>
      <w:r w:rsidR="0065439D" w:rsidRPr="0018337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>tļauja darbu veikšanai SIA “LatRosTrans” objekt</w:t>
      </w:r>
      <w:r w:rsidR="001D1589" w:rsidRPr="00183370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2A0D3AE" w14:textId="77777777" w:rsidR="00E66BFA" w:rsidRPr="00183370" w:rsidRDefault="00E66BFA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Pirms ugunsbīstamo darbu veikšanas (t.sk. metāla griešana ar leņķa </w:t>
      </w:r>
      <w:proofErr w:type="spellStart"/>
      <w:r w:rsidRPr="00183370">
        <w:rPr>
          <w:rFonts w:ascii="Times New Roman" w:hAnsi="Times New Roman" w:cs="Times New Roman"/>
          <w:sz w:val="24"/>
          <w:szCs w:val="24"/>
          <w:lang w:val="lv-LV"/>
        </w:rPr>
        <w:t>slīpmašīnu</w:t>
      </w:r>
      <w:proofErr w:type="spellEnd"/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) jānoformē norīkojums ugunsbīstamo darbu veikšanai, jānodrošina ugunsdzēsības līdzekļu </w:t>
      </w:r>
      <w:r w:rsidR="006A19D1" w:rsidRPr="00183370">
        <w:rPr>
          <w:rFonts w:ascii="Times New Roman" w:hAnsi="Times New Roman" w:cs="Times New Roman"/>
          <w:sz w:val="24"/>
          <w:szCs w:val="24"/>
          <w:lang w:val="lv-LV"/>
        </w:rPr>
        <w:t>esamību un darba aizsardzības noteikumu ievērošanu. Pēc ugunsbīstamo darbu pabeigšanas jāorganizē ugunsbīstamo darbu veikšanas vietas uzraudzību 4 stundu laikā;</w:t>
      </w:r>
    </w:p>
    <w:p w14:paraId="1EE5BACA" w14:textId="77777777" w:rsidR="00180ABC" w:rsidRDefault="006A19D1" w:rsidP="00180ABC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Remont</w:t>
      </w:r>
      <w:r w:rsidR="00180ABC" w:rsidRPr="00183370">
        <w:rPr>
          <w:rFonts w:ascii="Times New Roman" w:hAnsi="Times New Roman" w:cs="Times New Roman"/>
          <w:sz w:val="24"/>
          <w:szCs w:val="24"/>
          <w:lang w:val="lv-LV"/>
        </w:rPr>
        <w:t>darbi jāorganizē tā, lai tie pēc iespējas m</w:t>
      </w:r>
      <w:r w:rsidR="00C62B08" w:rsidRPr="00183370">
        <w:rPr>
          <w:rFonts w:ascii="Times New Roman" w:hAnsi="Times New Roman" w:cs="Times New Roman"/>
          <w:sz w:val="24"/>
          <w:szCs w:val="24"/>
          <w:lang w:val="lv-LV"/>
        </w:rPr>
        <w:t>azāk traucētu uzņēmuma darbībai;</w:t>
      </w:r>
    </w:p>
    <w:p w14:paraId="7027E7A7" w14:textId="686DF1F0" w:rsidR="00DB3DB8" w:rsidRPr="00183370" w:rsidRDefault="00DB3DB8" w:rsidP="00DB3DB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DB3DB8">
        <w:rPr>
          <w:rFonts w:ascii="Times New Roman" w:hAnsi="Times New Roman" w:cs="Times New Roman"/>
          <w:sz w:val="24"/>
          <w:szCs w:val="24"/>
          <w:lang w:val="lv-LV"/>
        </w:rPr>
        <w:t xml:space="preserve">arbuzņēmēja nodarbinātajiem tiks nodrošinātas </w:t>
      </w:r>
      <w:r>
        <w:rPr>
          <w:rFonts w:ascii="Times New Roman" w:hAnsi="Times New Roman" w:cs="Times New Roman"/>
          <w:sz w:val="24"/>
          <w:szCs w:val="24"/>
          <w:lang w:val="lv-LV"/>
        </w:rPr>
        <w:t>sanitārās un higiēnas prasības, t.sk. ģērbtuve, tualete, dzeramais</w:t>
      </w:r>
      <w:r w:rsidRPr="00DB3DB8">
        <w:rPr>
          <w:rFonts w:ascii="Times New Roman" w:hAnsi="Times New Roman" w:cs="Times New Roman"/>
          <w:sz w:val="24"/>
          <w:szCs w:val="24"/>
          <w:lang w:val="lv-LV"/>
        </w:rPr>
        <w:t xml:space="preserve"> ūdens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E3BA588" w14:textId="77777777" w:rsidR="00914C91" w:rsidRPr="00183370" w:rsidRDefault="00914C91" w:rsidP="00914C9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Paredzamais būvdarbu izpildes termiņš </w:t>
      </w:r>
      <w:r w:rsidR="00370007">
        <w:rPr>
          <w:rFonts w:ascii="Times New Roman" w:hAnsi="Times New Roman" w:cs="Times New Roman"/>
          <w:sz w:val="24"/>
          <w:szCs w:val="24"/>
          <w:lang w:val="lv-LV"/>
        </w:rPr>
        <w:t>maijs</w:t>
      </w:r>
      <w:r w:rsidR="00FD201C" w:rsidRPr="00183370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9146C8" w:rsidRPr="00183370">
        <w:rPr>
          <w:rFonts w:ascii="Times New Roman" w:hAnsi="Times New Roman" w:cs="Times New Roman"/>
          <w:sz w:val="24"/>
          <w:szCs w:val="24"/>
          <w:lang w:val="lv-LV"/>
        </w:rPr>
        <w:t>septembris</w:t>
      </w:r>
      <w:r w:rsidR="00FD201C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14A3D8F" w14:textId="77777777" w:rsidR="005E6FA3" w:rsidRPr="00183370" w:rsidRDefault="005E6FA3" w:rsidP="005E6FA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82840D6" w14:textId="77777777" w:rsidR="003924E2" w:rsidRPr="00183370" w:rsidRDefault="00061A81" w:rsidP="006A19D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Prasības attiecības uz finanšu piedāvājumu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5B4C19D3" w14:textId="77777777" w:rsidR="00B64C84" w:rsidRPr="00183370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finanšu piedāvājuma sastādīšanas apmeklēt objektu, veikt objekta apsekošanu, darbu apjomu pārbaudi un precizējumu;</w:t>
      </w:r>
    </w:p>
    <w:p w14:paraId="11878EF5" w14:textId="77777777" w:rsidR="00B64C84" w:rsidRPr="00183370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Pretendentiem savā piedāvājumā jāietver būvniecības izmaksu aprēķins – lokāla tāme. Tāme jāizstrādā saskaņā ar Ministru kabineta noteikumiem Nr.239, Noteikumi par Latvijas būvnormatīvu LBN 501-17 "</w:t>
      </w:r>
      <w:proofErr w:type="spellStart"/>
      <w:r w:rsidRPr="00183370">
        <w:rPr>
          <w:rFonts w:ascii="Times New Roman" w:hAnsi="Times New Roman" w:cs="Times New Roman"/>
          <w:sz w:val="24"/>
          <w:szCs w:val="24"/>
          <w:lang w:val="lv-LV"/>
        </w:rPr>
        <w:t>Būvizmaksu</w:t>
      </w:r>
      <w:proofErr w:type="spellEnd"/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noteikšanas kārtība";</w:t>
      </w:r>
    </w:p>
    <w:p w14:paraId="1883F9F7" w14:textId="77777777" w:rsidR="00B64C84" w:rsidRPr="00183370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Piedāvājumā jānorada avansa apmēru;</w:t>
      </w:r>
    </w:p>
    <w:p w14:paraId="1A192B9C" w14:textId="77777777" w:rsidR="00B64C84" w:rsidRPr="00183370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Piedāvājumam jāpievieno būvizstrādājumu </w:t>
      </w:r>
      <w:r w:rsidR="0047444B">
        <w:rPr>
          <w:rFonts w:ascii="Times New Roman" w:hAnsi="Times New Roman" w:cs="Times New Roman"/>
          <w:sz w:val="24"/>
          <w:szCs w:val="24"/>
          <w:lang w:val="lv-LV"/>
        </w:rPr>
        <w:t>un būvdarbu garantijas laiks, kā</w:t>
      </w: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arī garantijas nosacījumi;</w:t>
      </w:r>
    </w:p>
    <w:p w14:paraId="52AABFF6" w14:textId="77777777" w:rsidR="00B64C84" w:rsidRPr="00183370" w:rsidRDefault="00B64C84" w:rsidP="00B64C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Minimālais piedāvājuma derīguma termiņš – 60 dienas;</w:t>
      </w:r>
    </w:p>
    <w:p w14:paraId="7B93145C" w14:textId="77777777" w:rsidR="000150A0" w:rsidRPr="00183370" w:rsidRDefault="000150A0" w:rsidP="000150A0">
      <w:pPr>
        <w:pStyle w:val="ListParagraph"/>
        <w:spacing w:after="120" w:line="240" w:lineRule="auto"/>
        <w:ind w:left="57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80FF03" w14:textId="77777777" w:rsidR="001812B7" w:rsidRPr="00183370" w:rsidRDefault="001812B7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3C3FE03" w14:textId="77777777" w:rsidR="005261C2" w:rsidRPr="00183370" w:rsidRDefault="005261C2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40F4B6D2" w14:textId="77777777" w:rsidR="00DD3345" w:rsidRPr="00183370" w:rsidRDefault="00DD3345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SIA “LatRosTrans”</w:t>
      </w:r>
    </w:p>
    <w:p w14:paraId="07166857" w14:textId="77777777" w:rsidR="00DD3345" w:rsidRPr="00183370" w:rsidRDefault="006F3C93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Vecākais b</w:t>
      </w:r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ūvinženieris </w:t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>V.Kazačonoks</w:t>
      </w:r>
      <w:proofErr w:type="spellEnd"/>
    </w:p>
    <w:sectPr w:rsidR="00DD3345" w:rsidRPr="00183370" w:rsidSect="005E6FA3">
      <w:footerReference w:type="default" r:id="rId8"/>
      <w:pgSz w:w="12240" w:h="15840"/>
      <w:pgMar w:top="851" w:right="85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22975" w14:textId="77777777" w:rsidR="00ED5AA0" w:rsidRDefault="00ED5AA0" w:rsidP="00F55465">
      <w:pPr>
        <w:spacing w:after="0" w:line="240" w:lineRule="auto"/>
      </w:pPr>
      <w:r>
        <w:separator/>
      </w:r>
    </w:p>
  </w:endnote>
  <w:endnote w:type="continuationSeparator" w:id="0">
    <w:p w14:paraId="2E598D4E" w14:textId="77777777" w:rsidR="00ED5AA0" w:rsidRDefault="00ED5AA0" w:rsidP="00F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05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A27BAEF" w14:textId="77777777" w:rsidR="00487039" w:rsidRDefault="00ED5AA0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3409F4">
          <w:rPr>
            <w:rFonts w:ascii="Times New Roman" w:hAnsi="Times New Roman" w:cs="Times New Roman"/>
          </w:rPr>
          <w:fldChar w:fldCharType="begin"/>
        </w:r>
        <w:r w:rsidRPr="003409F4">
          <w:rPr>
            <w:rFonts w:ascii="Times New Roman" w:hAnsi="Times New Roman" w:cs="Times New Roman"/>
          </w:rPr>
          <w:instrText xml:space="preserve"> PAGE   \* MERGEFORMAT </w:instrText>
        </w:r>
        <w:r w:rsidRPr="003409F4">
          <w:rPr>
            <w:rFonts w:ascii="Times New Roman" w:hAnsi="Times New Roman" w:cs="Times New Roman"/>
          </w:rPr>
          <w:fldChar w:fldCharType="separate"/>
        </w:r>
        <w:r w:rsidR="0046242F">
          <w:rPr>
            <w:rFonts w:ascii="Times New Roman" w:hAnsi="Times New Roman" w:cs="Times New Roman"/>
            <w:noProof/>
          </w:rPr>
          <w:t>1</w:t>
        </w:r>
        <w:r w:rsidRPr="003409F4">
          <w:rPr>
            <w:rFonts w:ascii="Times New Roman" w:hAnsi="Times New Roman" w:cs="Times New Roman"/>
            <w:noProof/>
          </w:rPr>
          <w:fldChar w:fldCharType="end"/>
        </w:r>
        <w:r w:rsidRPr="003409F4">
          <w:rPr>
            <w:rFonts w:ascii="Times New Roman" w:hAnsi="Times New Roman" w:cs="Times New Roman"/>
            <w:noProof/>
          </w:rPr>
          <w:t xml:space="preserve">. lpp no </w:t>
        </w:r>
        <w:r w:rsidR="00486A2B">
          <w:rPr>
            <w:rFonts w:ascii="Times New Roman" w:hAnsi="Times New Roman" w:cs="Times New Roman"/>
            <w:noProof/>
          </w:rPr>
          <w:t>2</w:t>
        </w:r>
      </w:p>
      <w:p w14:paraId="713B510B" w14:textId="77777777" w:rsidR="00ED5AA0" w:rsidRPr="003409F4" w:rsidRDefault="0046242F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0BA0F442" w14:textId="77777777" w:rsidR="00ED5AA0" w:rsidRDefault="00ED5A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D811D" w14:textId="77777777" w:rsidR="00ED5AA0" w:rsidRDefault="00ED5AA0" w:rsidP="00F55465">
      <w:pPr>
        <w:spacing w:after="0" w:line="240" w:lineRule="auto"/>
      </w:pPr>
      <w:r>
        <w:separator/>
      </w:r>
    </w:p>
  </w:footnote>
  <w:footnote w:type="continuationSeparator" w:id="0">
    <w:p w14:paraId="21699F29" w14:textId="77777777" w:rsidR="00ED5AA0" w:rsidRDefault="00ED5AA0" w:rsidP="00F5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937"/>
    <w:multiLevelType w:val="hybridMultilevel"/>
    <w:tmpl w:val="C1D81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58DB"/>
    <w:multiLevelType w:val="multilevel"/>
    <w:tmpl w:val="FF563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4E1301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12F33"/>
    <w:multiLevelType w:val="hybridMultilevel"/>
    <w:tmpl w:val="F7C4A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94FDB"/>
    <w:multiLevelType w:val="hybridMultilevel"/>
    <w:tmpl w:val="7A1AD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0F6A45"/>
    <w:multiLevelType w:val="multilevel"/>
    <w:tmpl w:val="E44CC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C865EB"/>
    <w:multiLevelType w:val="hybridMultilevel"/>
    <w:tmpl w:val="7AF44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05642D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710D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1A3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A03964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8A6C9C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05"/>
    <w:rsid w:val="0000782F"/>
    <w:rsid w:val="000150A0"/>
    <w:rsid w:val="00020E64"/>
    <w:rsid w:val="00045B3F"/>
    <w:rsid w:val="00061A81"/>
    <w:rsid w:val="000648FE"/>
    <w:rsid w:val="00075650"/>
    <w:rsid w:val="00084AD4"/>
    <w:rsid w:val="00091584"/>
    <w:rsid w:val="000B6A07"/>
    <w:rsid w:val="000C22D5"/>
    <w:rsid w:val="000C425B"/>
    <w:rsid w:val="000C5FFD"/>
    <w:rsid w:val="000D209B"/>
    <w:rsid w:val="000D52B5"/>
    <w:rsid w:val="000E5DA5"/>
    <w:rsid w:val="000F68DA"/>
    <w:rsid w:val="00104552"/>
    <w:rsid w:val="0011155A"/>
    <w:rsid w:val="00121364"/>
    <w:rsid w:val="00122D54"/>
    <w:rsid w:val="001440C4"/>
    <w:rsid w:val="00147FA2"/>
    <w:rsid w:val="001550D9"/>
    <w:rsid w:val="00173975"/>
    <w:rsid w:val="00180ABC"/>
    <w:rsid w:val="001812B7"/>
    <w:rsid w:val="001827FA"/>
    <w:rsid w:val="00183370"/>
    <w:rsid w:val="00185FFD"/>
    <w:rsid w:val="00187B9D"/>
    <w:rsid w:val="001B1E86"/>
    <w:rsid w:val="001C22E5"/>
    <w:rsid w:val="001D1589"/>
    <w:rsid w:val="001D30DB"/>
    <w:rsid w:val="001E1FEA"/>
    <w:rsid w:val="001F3B7B"/>
    <w:rsid w:val="001F7FB8"/>
    <w:rsid w:val="0020325C"/>
    <w:rsid w:val="0020535E"/>
    <w:rsid w:val="00212D31"/>
    <w:rsid w:val="002143DB"/>
    <w:rsid w:val="00221252"/>
    <w:rsid w:val="00232D62"/>
    <w:rsid w:val="002419E9"/>
    <w:rsid w:val="00256DC8"/>
    <w:rsid w:val="00263192"/>
    <w:rsid w:val="002A1676"/>
    <w:rsid w:val="002B0C1D"/>
    <w:rsid w:val="002B1818"/>
    <w:rsid w:val="002B3326"/>
    <w:rsid w:val="002B5150"/>
    <w:rsid w:val="002E0D24"/>
    <w:rsid w:val="002E21BB"/>
    <w:rsid w:val="002F6FD5"/>
    <w:rsid w:val="003041CD"/>
    <w:rsid w:val="00305F5D"/>
    <w:rsid w:val="00320936"/>
    <w:rsid w:val="00320F4A"/>
    <w:rsid w:val="00324824"/>
    <w:rsid w:val="00326A41"/>
    <w:rsid w:val="00335AAE"/>
    <w:rsid w:val="003409F4"/>
    <w:rsid w:val="0034143B"/>
    <w:rsid w:val="00360D01"/>
    <w:rsid w:val="00362AE1"/>
    <w:rsid w:val="00363917"/>
    <w:rsid w:val="00370007"/>
    <w:rsid w:val="00384292"/>
    <w:rsid w:val="003869C2"/>
    <w:rsid w:val="003924E2"/>
    <w:rsid w:val="003C79A1"/>
    <w:rsid w:val="003D06B5"/>
    <w:rsid w:val="003D547E"/>
    <w:rsid w:val="003D5FB8"/>
    <w:rsid w:val="003D6944"/>
    <w:rsid w:val="003E4959"/>
    <w:rsid w:val="00402402"/>
    <w:rsid w:val="004044FA"/>
    <w:rsid w:val="0040767B"/>
    <w:rsid w:val="00420722"/>
    <w:rsid w:val="00425F65"/>
    <w:rsid w:val="00451407"/>
    <w:rsid w:val="0046242F"/>
    <w:rsid w:val="004629E2"/>
    <w:rsid w:val="00472B36"/>
    <w:rsid w:val="0047444B"/>
    <w:rsid w:val="00476E08"/>
    <w:rsid w:val="00486A2B"/>
    <w:rsid w:val="00486EEB"/>
    <w:rsid w:val="00487039"/>
    <w:rsid w:val="00495BD7"/>
    <w:rsid w:val="004A3538"/>
    <w:rsid w:val="004A6F12"/>
    <w:rsid w:val="004B7AC6"/>
    <w:rsid w:val="004C0EDC"/>
    <w:rsid w:val="004C2F48"/>
    <w:rsid w:val="004C34C8"/>
    <w:rsid w:val="004C585E"/>
    <w:rsid w:val="004F3867"/>
    <w:rsid w:val="005003BF"/>
    <w:rsid w:val="00500557"/>
    <w:rsid w:val="00505D50"/>
    <w:rsid w:val="00512AC5"/>
    <w:rsid w:val="00516A37"/>
    <w:rsid w:val="005261C2"/>
    <w:rsid w:val="00555191"/>
    <w:rsid w:val="00556506"/>
    <w:rsid w:val="0056158A"/>
    <w:rsid w:val="0056336D"/>
    <w:rsid w:val="00586EB8"/>
    <w:rsid w:val="005A4891"/>
    <w:rsid w:val="005B3789"/>
    <w:rsid w:val="005B4A7F"/>
    <w:rsid w:val="005B555D"/>
    <w:rsid w:val="005B6CD3"/>
    <w:rsid w:val="005D369D"/>
    <w:rsid w:val="005D51BE"/>
    <w:rsid w:val="005D5FC4"/>
    <w:rsid w:val="005E07BA"/>
    <w:rsid w:val="005E0EF4"/>
    <w:rsid w:val="005E35D1"/>
    <w:rsid w:val="005E6E89"/>
    <w:rsid w:val="005E6FA3"/>
    <w:rsid w:val="005F6D39"/>
    <w:rsid w:val="00600B81"/>
    <w:rsid w:val="006025ED"/>
    <w:rsid w:val="00602C92"/>
    <w:rsid w:val="00610027"/>
    <w:rsid w:val="00611746"/>
    <w:rsid w:val="00614D23"/>
    <w:rsid w:val="00616B9B"/>
    <w:rsid w:val="0062348B"/>
    <w:rsid w:val="0063254F"/>
    <w:rsid w:val="0064564D"/>
    <w:rsid w:val="00646DFE"/>
    <w:rsid w:val="006524CF"/>
    <w:rsid w:val="0065390D"/>
    <w:rsid w:val="0065439D"/>
    <w:rsid w:val="00663A72"/>
    <w:rsid w:val="006641C8"/>
    <w:rsid w:val="00666990"/>
    <w:rsid w:val="006678F7"/>
    <w:rsid w:val="00673F9D"/>
    <w:rsid w:val="00684627"/>
    <w:rsid w:val="006906B0"/>
    <w:rsid w:val="006A19D1"/>
    <w:rsid w:val="006A44F0"/>
    <w:rsid w:val="006B0CC1"/>
    <w:rsid w:val="006C50A9"/>
    <w:rsid w:val="006D1343"/>
    <w:rsid w:val="006D13E8"/>
    <w:rsid w:val="006D7A78"/>
    <w:rsid w:val="006F3C93"/>
    <w:rsid w:val="00704256"/>
    <w:rsid w:val="007133FF"/>
    <w:rsid w:val="00713828"/>
    <w:rsid w:val="00714615"/>
    <w:rsid w:val="00714F38"/>
    <w:rsid w:val="00716B4E"/>
    <w:rsid w:val="00716BD8"/>
    <w:rsid w:val="00717138"/>
    <w:rsid w:val="007230A7"/>
    <w:rsid w:val="007425E2"/>
    <w:rsid w:val="007450C0"/>
    <w:rsid w:val="00763556"/>
    <w:rsid w:val="007653FB"/>
    <w:rsid w:val="0077066E"/>
    <w:rsid w:val="0077790D"/>
    <w:rsid w:val="007B6A44"/>
    <w:rsid w:val="007D5175"/>
    <w:rsid w:val="007E04C9"/>
    <w:rsid w:val="007E6B88"/>
    <w:rsid w:val="007F000B"/>
    <w:rsid w:val="007F1480"/>
    <w:rsid w:val="00802707"/>
    <w:rsid w:val="0081043F"/>
    <w:rsid w:val="008368A0"/>
    <w:rsid w:val="00842429"/>
    <w:rsid w:val="0084678B"/>
    <w:rsid w:val="008719F7"/>
    <w:rsid w:val="0088300B"/>
    <w:rsid w:val="00886450"/>
    <w:rsid w:val="00897228"/>
    <w:rsid w:val="00897320"/>
    <w:rsid w:val="008B0164"/>
    <w:rsid w:val="008B42B3"/>
    <w:rsid w:val="008C76D3"/>
    <w:rsid w:val="008D6853"/>
    <w:rsid w:val="008D78A9"/>
    <w:rsid w:val="008F52F7"/>
    <w:rsid w:val="008F65C5"/>
    <w:rsid w:val="0090115A"/>
    <w:rsid w:val="009026D9"/>
    <w:rsid w:val="0090413C"/>
    <w:rsid w:val="0090648D"/>
    <w:rsid w:val="00906D9E"/>
    <w:rsid w:val="009146C8"/>
    <w:rsid w:val="00914C91"/>
    <w:rsid w:val="0091773C"/>
    <w:rsid w:val="0092612B"/>
    <w:rsid w:val="0092784F"/>
    <w:rsid w:val="00927D7B"/>
    <w:rsid w:val="0096132D"/>
    <w:rsid w:val="00961F47"/>
    <w:rsid w:val="00963517"/>
    <w:rsid w:val="0097062F"/>
    <w:rsid w:val="00972E08"/>
    <w:rsid w:val="00973802"/>
    <w:rsid w:val="0097716B"/>
    <w:rsid w:val="00977607"/>
    <w:rsid w:val="00990091"/>
    <w:rsid w:val="00990E4C"/>
    <w:rsid w:val="00997D1F"/>
    <w:rsid w:val="00997EEE"/>
    <w:rsid w:val="009A1F44"/>
    <w:rsid w:val="009A58C5"/>
    <w:rsid w:val="009B4F50"/>
    <w:rsid w:val="009C233F"/>
    <w:rsid w:val="009C37EB"/>
    <w:rsid w:val="009E70C9"/>
    <w:rsid w:val="009F0724"/>
    <w:rsid w:val="009F50D1"/>
    <w:rsid w:val="00A021A5"/>
    <w:rsid w:val="00A04F17"/>
    <w:rsid w:val="00A10804"/>
    <w:rsid w:val="00A2028F"/>
    <w:rsid w:val="00A26D39"/>
    <w:rsid w:val="00A3502B"/>
    <w:rsid w:val="00A41559"/>
    <w:rsid w:val="00A622AF"/>
    <w:rsid w:val="00A637D0"/>
    <w:rsid w:val="00A70091"/>
    <w:rsid w:val="00A73674"/>
    <w:rsid w:val="00A80012"/>
    <w:rsid w:val="00A83315"/>
    <w:rsid w:val="00A97C77"/>
    <w:rsid w:val="00AA0664"/>
    <w:rsid w:val="00AA24E8"/>
    <w:rsid w:val="00AA4FA7"/>
    <w:rsid w:val="00AB2D03"/>
    <w:rsid w:val="00AC5028"/>
    <w:rsid w:val="00AC5484"/>
    <w:rsid w:val="00AE0E92"/>
    <w:rsid w:val="00AE4331"/>
    <w:rsid w:val="00AE7FB0"/>
    <w:rsid w:val="00AF3AEA"/>
    <w:rsid w:val="00AF6C1F"/>
    <w:rsid w:val="00B11465"/>
    <w:rsid w:val="00B12825"/>
    <w:rsid w:val="00B223C5"/>
    <w:rsid w:val="00B22655"/>
    <w:rsid w:val="00B30114"/>
    <w:rsid w:val="00B332ED"/>
    <w:rsid w:val="00B333BA"/>
    <w:rsid w:val="00B36405"/>
    <w:rsid w:val="00B44473"/>
    <w:rsid w:val="00B47A3A"/>
    <w:rsid w:val="00B50775"/>
    <w:rsid w:val="00B6492E"/>
    <w:rsid w:val="00B64C84"/>
    <w:rsid w:val="00B73205"/>
    <w:rsid w:val="00B82B90"/>
    <w:rsid w:val="00B926D2"/>
    <w:rsid w:val="00BB4B1F"/>
    <w:rsid w:val="00BB574C"/>
    <w:rsid w:val="00BC7196"/>
    <w:rsid w:val="00BD4AF6"/>
    <w:rsid w:val="00BD711E"/>
    <w:rsid w:val="00BE799C"/>
    <w:rsid w:val="00BF0AC6"/>
    <w:rsid w:val="00BF31B0"/>
    <w:rsid w:val="00C113BF"/>
    <w:rsid w:val="00C14B57"/>
    <w:rsid w:val="00C30C45"/>
    <w:rsid w:val="00C34CBF"/>
    <w:rsid w:val="00C4239F"/>
    <w:rsid w:val="00C441E9"/>
    <w:rsid w:val="00C466E9"/>
    <w:rsid w:val="00C556A0"/>
    <w:rsid w:val="00C557EB"/>
    <w:rsid w:val="00C60FAB"/>
    <w:rsid w:val="00C61384"/>
    <w:rsid w:val="00C62B08"/>
    <w:rsid w:val="00C63299"/>
    <w:rsid w:val="00C64EFF"/>
    <w:rsid w:val="00C77D58"/>
    <w:rsid w:val="00C85F57"/>
    <w:rsid w:val="00CB0905"/>
    <w:rsid w:val="00CC50F3"/>
    <w:rsid w:val="00CD06A2"/>
    <w:rsid w:val="00CD613C"/>
    <w:rsid w:val="00CE2133"/>
    <w:rsid w:val="00CE38BC"/>
    <w:rsid w:val="00CF1DE8"/>
    <w:rsid w:val="00CF24A4"/>
    <w:rsid w:val="00CF264E"/>
    <w:rsid w:val="00CF5880"/>
    <w:rsid w:val="00D0133A"/>
    <w:rsid w:val="00D11AEB"/>
    <w:rsid w:val="00D12B31"/>
    <w:rsid w:val="00D15F24"/>
    <w:rsid w:val="00D160FC"/>
    <w:rsid w:val="00D2375F"/>
    <w:rsid w:val="00D36114"/>
    <w:rsid w:val="00D44F97"/>
    <w:rsid w:val="00D662C9"/>
    <w:rsid w:val="00D72E9E"/>
    <w:rsid w:val="00D730EF"/>
    <w:rsid w:val="00D929D1"/>
    <w:rsid w:val="00DB3DB8"/>
    <w:rsid w:val="00DD1623"/>
    <w:rsid w:val="00DD16BB"/>
    <w:rsid w:val="00DD3345"/>
    <w:rsid w:val="00DD4E25"/>
    <w:rsid w:val="00DF17AA"/>
    <w:rsid w:val="00E00DD8"/>
    <w:rsid w:val="00E023EE"/>
    <w:rsid w:val="00E055EE"/>
    <w:rsid w:val="00E236BF"/>
    <w:rsid w:val="00E37F4A"/>
    <w:rsid w:val="00E40A1D"/>
    <w:rsid w:val="00E535CF"/>
    <w:rsid w:val="00E61216"/>
    <w:rsid w:val="00E62AC3"/>
    <w:rsid w:val="00E63BBD"/>
    <w:rsid w:val="00E64738"/>
    <w:rsid w:val="00E66BFA"/>
    <w:rsid w:val="00E850A7"/>
    <w:rsid w:val="00E94320"/>
    <w:rsid w:val="00E9527F"/>
    <w:rsid w:val="00EA37BB"/>
    <w:rsid w:val="00EA38B6"/>
    <w:rsid w:val="00EB0C11"/>
    <w:rsid w:val="00EB6E2E"/>
    <w:rsid w:val="00EC5574"/>
    <w:rsid w:val="00ED067D"/>
    <w:rsid w:val="00ED5AA0"/>
    <w:rsid w:val="00F054B6"/>
    <w:rsid w:val="00F06399"/>
    <w:rsid w:val="00F06F21"/>
    <w:rsid w:val="00F13BAE"/>
    <w:rsid w:val="00F3539B"/>
    <w:rsid w:val="00F36BFE"/>
    <w:rsid w:val="00F455D0"/>
    <w:rsid w:val="00F52900"/>
    <w:rsid w:val="00F530DA"/>
    <w:rsid w:val="00F55465"/>
    <w:rsid w:val="00F6437F"/>
    <w:rsid w:val="00F82F88"/>
    <w:rsid w:val="00F924CC"/>
    <w:rsid w:val="00FA7028"/>
    <w:rsid w:val="00FB26FA"/>
    <w:rsid w:val="00FB32A2"/>
    <w:rsid w:val="00FB4DCE"/>
    <w:rsid w:val="00FB577B"/>
    <w:rsid w:val="00FB60D7"/>
    <w:rsid w:val="00FB7D21"/>
    <w:rsid w:val="00FC14ED"/>
    <w:rsid w:val="00FC61F4"/>
    <w:rsid w:val="00FC6924"/>
    <w:rsid w:val="00FD201C"/>
    <w:rsid w:val="00FD563F"/>
    <w:rsid w:val="00FF274F"/>
    <w:rsid w:val="00FF2A7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BAD59"/>
  <w15:chartTrackingRefBased/>
  <w15:docId w15:val="{BA064729-41C5-4D00-82E2-DE40F279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15A"/>
  </w:style>
  <w:style w:type="paragraph" w:styleId="Header">
    <w:name w:val="header"/>
    <w:basedOn w:val="Normal"/>
    <w:link w:val="Head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5"/>
  </w:style>
  <w:style w:type="paragraph" w:styleId="Footer">
    <w:name w:val="footer"/>
    <w:basedOn w:val="Normal"/>
    <w:link w:val="Foot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5"/>
  </w:style>
  <w:style w:type="table" w:styleId="TableGrid">
    <w:name w:val="Table Grid"/>
    <w:basedOn w:val="TableNormal"/>
    <w:uiPriority w:val="39"/>
    <w:rsid w:val="00A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E0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1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B3FF-8A31-4CC6-BE9E-B6727C96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Kazačonoks</dc:creator>
  <cp:keywords/>
  <dc:description/>
  <cp:lastModifiedBy>Vladislavs Kazačonoks</cp:lastModifiedBy>
  <cp:revision>4</cp:revision>
  <cp:lastPrinted>2020-03-20T08:22:00Z</cp:lastPrinted>
  <dcterms:created xsi:type="dcterms:W3CDTF">2021-02-10T08:06:00Z</dcterms:created>
  <dcterms:modified xsi:type="dcterms:W3CDTF">2021-02-10T08:24:00Z</dcterms:modified>
</cp:coreProperties>
</file>